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C0" w:rsidRDefault="00D06DC0" w:rsidP="00EC30B1">
      <w:pPr>
        <w:spacing w:before="520"/>
        <w:rPr>
          <w:rFonts w:ascii="Lucida Fax" w:hAnsi="Lucida Fax"/>
          <w:b/>
          <w:noProof/>
          <w:color w:val="4F2D7F"/>
          <w:sz w:val="52"/>
          <w:szCs w:val="52"/>
          <w:lang w:eastAsia="en-AU"/>
        </w:rPr>
      </w:pPr>
      <w:bookmarkStart w:id="0" w:name="_GoBack"/>
      <w:bookmarkEnd w:id="0"/>
    </w:p>
    <w:p w:rsidR="00EC30B1" w:rsidRPr="00F676DD" w:rsidRDefault="00010D1B" w:rsidP="00EC30B1">
      <w:pPr>
        <w:spacing w:before="520"/>
        <w:rPr>
          <w:rFonts w:ascii="Lucida Fax" w:hAnsi="Lucida Fax"/>
          <w:b/>
          <w:color w:val="4F2D7F"/>
          <w:sz w:val="52"/>
          <w:szCs w:val="5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6" type="#_x0000_t75" style="position:absolute;margin-left:-53.25pt;margin-top:-52.9pt;width:562.45pt;height:792.65pt;z-index:-251658752;visibility:visible">
            <v:imagedata r:id="rId10" o:title=""/>
          </v:shap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42"/>
      </w:tblGrid>
      <w:tr w:rsidR="00EC30B1" w:rsidRPr="00724860" w:rsidTr="00724860">
        <w:trPr>
          <w:trHeight w:val="3135"/>
        </w:trPr>
        <w:tc>
          <w:tcPr>
            <w:tcW w:w="9242" w:type="dxa"/>
            <w:shd w:val="clear" w:color="auto" w:fill="auto"/>
          </w:tcPr>
          <w:p w:rsidR="00EC30B1" w:rsidRPr="00724860" w:rsidRDefault="00EC30B1" w:rsidP="0012041B">
            <w:pPr>
              <w:pStyle w:val="Title"/>
              <w:rPr>
                <w:b/>
              </w:rPr>
            </w:pPr>
          </w:p>
        </w:tc>
      </w:tr>
      <w:tr w:rsidR="00EC30B1" w:rsidRPr="00724860" w:rsidTr="00724860">
        <w:tc>
          <w:tcPr>
            <w:tcW w:w="9242" w:type="dxa"/>
            <w:shd w:val="clear" w:color="auto" w:fill="auto"/>
          </w:tcPr>
          <w:p w:rsidR="00EC30B1" w:rsidRPr="00724860" w:rsidRDefault="00E66FCA" w:rsidP="006C2085">
            <w:pPr>
              <w:pStyle w:val="Title"/>
              <w:rPr>
                <w:b/>
              </w:rPr>
            </w:pPr>
            <w:r w:rsidRPr="00724860">
              <w:rPr>
                <w:b/>
              </w:rPr>
              <w:t>Protecting consumers from unsafe products</w:t>
            </w:r>
          </w:p>
        </w:tc>
      </w:tr>
      <w:tr w:rsidR="00EC30B1" w:rsidRPr="00724860" w:rsidTr="00724860">
        <w:tc>
          <w:tcPr>
            <w:tcW w:w="9242" w:type="dxa"/>
            <w:shd w:val="clear" w:color="auto" w:fill="auto"/>
          </w:tcPr>
          <w:p w:rsidR="00EC30B1" w:rsidRPr="00724860" w:rsidRDefault="00820DB6" w:rsidP="0012041B">
            <w:pPr>
              <w:pStyle w:val="Subtitle"/>
              <w:rPr>
                <w:b/>
              </w:rPr>
            </w:pPr>
            <w:r w:rsidRPr="00724860">
              <w:rPr>
                <w:b/>
              </w:rPr>
              <w:t>How the ACCC develops m</w:t>
            </w:r>
            <w:r w:rsidR="00E70771" w:rsidRPr="00724860">
              <w:rPr>
                <w:b/>
              </w:rPr>
              <w:t>andatory standards and bans</w:t>
            </w:r>
          </w:p>
        </w:tc>
      </w:tr>
      <w:tr w:rsidR="00EC30B1" w:rsidRPr="00724860" w:rsidTr="00724860">
        <w:tc>
          <w:tcPr>
            <w:tcW w:w="9242" w:type="dxa"/>
            <w:shd w:val="clear" w:color="auto" w:fill="auto"/>
          </w:tcPr>
          <w:p w:rsidR="00EC30B1" w:rsidRPr="00724860" w:rsidRDefault="0036217F" w:rsidP="0036217F">
            <w:pPr>
              <w:pStyle w:val="CoverDate"/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Consumer </w:t>
            </w:r>
            <w:r w:rsidR="00D06DC0" w:rsidRPr="00724860">
              <w:rPr>
                <w:b/>
                <w:sz w:val="20"/>
              </w:rPr>
              <w:t xml:space="preserve">Product Safety Branch, </w:t>
            </w:r>
            <w:r>
              <w:rPr>
                <w:b/>
                <w:sz w:val="20"/>
              </w:rPr>
              <w:t>December</w:t>
            </w:r>
            <w:r w:rsidRPr="00724860">
              <w:rPr>
                <w:b/>
                <w:sz w:val="20"/>
              </w:rPr>
              <w:t xml:space="preserve"> </w:t>
            </w:r>
            <w:r w:rsidR="00E66FCA" w:rsidRPr="00724860">
              <w:rPr>
                <w:b/>
                <w:sz w:val="20"/>
              </w:rPr>
              <w:t>201</w:t>
            </w:r>
            <w:r w:rsidR="000738DE" w:rsidRPr="00724860">
              <w:rPr>
                <w:b/>
                <w:sz w:val="20"/>
              </w:rPr>
              <w:t>5</w:t>
            </w:r>
          </w:p>
        </w:tc>
      </w:tr>
    </w:tbl>
    <w:p w:rsidR="00EC30B1" w:rsidRDefault="00EC30B1" w:rsidP="00EC30B1"/>
    <w:p w:rsidR="00EC30B1" w:rsidRDefault="00EC30B1" w:rsidP="00EC30B1">
      <w:pPr>
        <w:spacing w:before="120" w:line="240" w:lineRule="atLeast"/>
      </w:pPr>
    </w:p>
    <w:p w:rsidR="00EC30B1" w:rsidRPr="00724A37" w:rsidRDefault="00EC30B1" w:rsidP="00EC30B1"/>
    <w:p w:rsidR="00EC30B1" w:rsidRDefault="00EC30B1"/>
    <w:p w:rsidR="00EC30B1" w:rsidRDefault="00EC30B1">
      <w:r>
        <w:br w:type="page"/>
      </w:r>
    </w:p>
    <w:p w:rsidR="00EC30B1" w:rsidRDefault="004510A6" w:rsidP="00E66FCA">
      <w:pPr>
        <w:pStyle w:val="Heading1"/>
      </w:pPr>
      <w:r>
        <w:t>Overview</w:t>
      </w:r>
    </w:p>
    <w:p w:rsidR="008F78AC" w:rsidRDefault="00E66FCA" w:rsidP="008F78AC">
      <w:r>
        <w:t>The A</w:t>
      </w:r>
      <w:r w:rsidR="00A21294">
        <w:t>ustralian Competition and Consumer Commission</w:t>
      </w:r>
      <w:r w:rsidR="001B0595">
        <w:t xml:space="preserve"> (ACCC)</w:t>
      </w:r>
      <w:r>
        <w:t xml:space="preserve"> is</w:t>
      </w:r>
      <w:r w:rsidR="00A21294">
        <w:t xml:space="preserve"> the</w:t>
      </w:r>
      <w:r>
        <w:t xml:space="preserve"> national product safety regulator</w:t>
      </w:r>
      <w:r w:rsidR="00E70771">
        <w:t xml:space="preserve"> </w:t>
      </w:r>
      <w:r w:rsidR="00A21294">
        <w:t xml:space="preserve">responsible for monitoring, promoting and overseeing the safety of </w:t>
      </w:r>
      <w:r w:rsidR="00D51BCE">
        <w:t>consumer goods and product related services</w:t>
      </w:r>
      <w:r w:rsidR="00A21294">
        <w:t>.</w:t>
      </w:r>
      <w:r w:rsidR="00D51BCE">
        <w:rPr>
          <w:rStyle w:val="FootnoteReference"/>
        </w:rPr>
        <w:footnoteReference w:id="1"/>
      </w:r>
      <w:r w:rsidR="00A21294">
        <w:t xml:space="preserve"> </w:t>
      </w:r>
    </w:p>
    <w:p w:rsidR="0099427B" w:rsidRDefault="00A21294" w:rsidP="00EC30B1">
      <w:r>
        <w:t>To achieve this goal, the ACCC administers specific product safety provisions under the Australian Consumer Law</w:t>
      </w:r>
      <w:r w:rsidR="00097B08">
        <w:t>,</w:t>
      </w:r>
      <w:r>
        <w:t xml:space="preserve"> along with state and territory consumer protection agencies</w:t>
      </w:r>
      <w:r w:rsidR="00097B08">
        <w:t>, including</w:t>
      </w:r>
      <w:r w:rsidR="00B9081F">
        <w:t xml:space="preserve"> </w:t>
      </w:r>
      <w:r w:rsidR="008F78AC">
        <w:t>develop</w:t>
      </w:r>
      <w:r w:rsidR="00D35931">
        <w:t>ing</w:t>
      </w:r>
      <w:r w:rsidR="008F78AC">
        <w:t xml:space="preserve"> mandatory </w:t>
      </w:r>
      <w:r w:rsidR="00D51BCE">
        <w:t xml:space="preserve">safety </w:t>
      </w:r>
      <w:r w:rsidR="008F78AC">
        <w:t xml:space="preserve">standards and bans where evidence shows that consumer </w:t>
      </w:r>
      <w:r w:rsidR="00D51BCE">
        <w:t>goods and product related services will or may</w:t>
      </w:r>
      <w:r w:rsidR="008F78AC">
        <w:t xml:space="preserve"> cause serious injury</w:t>
      </w:r>
      <w:r w:rsidR="00D51BCE">
        <w:t xml:space="preserve"> to any person.</w:t>
      </w:r>
      <w:r w:rsidR="0085096E">
        <w:t xml:space="preserve"> </w:t>
      </w:r>
    </w:p>
    <w:p w:rsidR="00D51BCE" w:rsidRDefault="00D51BCE" w:rsidP="00EC30B1">
      <w:r>
        <w:t xml:space="preserve">The Australian Consumer Law also includes provisions for the development of mandatory information standards for </w:t>
      </w:r>
      <w:r w:rsidR="0067172E">
        <w:t>goods and services.</w:t>
      </w:r>
      <w:r w:rsidR="0067172E">
        <w:rPr>
          <w:rStyle w:val="FootnoteReference"/>
        </w:rPr>
        <w:footnoteReference w:id="2"/>
      </w:r>
    </w:p>
    <w:p w:rsidR="0099427B" w:rsidRDefault="0099427B" w:rsidP="0099427B">
      <w:pPr>
        <w:pStyle w:val="Heading2"/>
      </w:pPr>
      <w:r>
        <w:t>Mandatory standards</w:t>
      </w:r>
    </w:p>
    <w:p w:rsidR="0067172E" w:rsidRDefault="0099427B" w:rsidP="00EC30B1">
      <w:r>
        <w:t>The purpose of a mandatory standard</w:t>
      </w:r>
      <w:r w:rsidR="0067172E">
        <w:t xml:space="preserve"> for consumer goods or </w:t>
      </w:r>
      <w:r w:rsidR="00D06DC0">
        <w:t xml:space="preserve">product related services </w:t>
      </w:r>
      <w:r>
        <w:t xml:space="preserve">is to make particular safety or information features on consumer products compulsory for legal supply into the Australian market.  </w:t>
      </w:r>
    </w:p>
    <w:p w:rsidR="008F78AC" w:rsidRDefault="0099427B" w:rsidP="00EC30B1">
      <w:r>
        <w:t xml:space="preserve">A mandatory standard is </w:t>
      </w:r>
      <w:r w:rsidR="00277913">
        <w:t>made or declared by the</w:t>
      </w:r>
      <w:r w:rsidR="0067723D">
        <w:t xml:space="preserve"> </w:t>
      </w:r>
      <w:r>
        <w:t xml:space="preserve">Commonwealth </w:t>
      </w:r>
      <w:r w:rsidR="00C966B4">
        <w:t>Minister</w:t>
      </w:r>
      <w:r w:rsidR="00D51BCE">
        <w:t xml:space="preserve"> and it </w:t>
      </w:r>
      <w:r w:rsidR="00277913">
        <w:t xml:space="preserve">becomes enforceable </w:t>
      </w:r>
      <w:r w:rsidR="00A92D7A">
        <w:t>once</w:t>
      </w:r>
      <w:r w:rsidR="00277913">
        <w:t xml:space="preserve"> registered on the Federal Register of Legislative Instruments.</w:t>
      </w:r>
    </w:p>
    <w:p w:rsidR="0085096E" w:rsidRDefault="0099427B" w:rsidP="00EC30B1">
      <w:r>
        <w:t xml:space="preserve">Mandatory safety standards can be made under s104 or declared under s105 of the Australian Consumer Law. Mandatory information standards can be made under </w:t>
      </w:r>
      <w:r w:rsidR="008F78AC">
        <w:t>s</w:t>
      </w:r>
      <w:r>
        <w:t>134 or declared under s134 of the Australian Consumer Law.</w:t>
      </w:r>
    </w:p>
    <w:p w:rsidR="0099427B" w:rsidRDefault="0099427B" w:rsidP="006C2085">
      <w:pPr>
        <w:pStyle w:val="Heading2"/>
      </w:pPr>
      <w:r>
        <w:t>Bans</w:t>
      </w:r>
    </w:p>
    <w:p w:rsidR="00FD1838" w:rsidRDefault="008F78AC" w:rsidP="00FD1838">
      <w:r>
        <w:t xml:space="preserve">A ban is </w:t>
      </w:r>
      <w:r w:rsidR="0067172E">
        <w:t xml:space="preserve">imposed </w:t>
      </w:r>
      <w:r>
        <w:t xml:space="preserve">to protect consumers from harm from the supply of </w:t>
      </w:r>
      <w:r w:rsidR="0085096E">
        <w:t>a</w:t>
      </w:r>
      <w:r w:rsidR="00277913">
        <w:t>n unsafe consumer good</w:t>
      </w:r>
      <w:r w:rsidR="0085096E">
        <w:t>.</w:t>
      </w:r>
      <w:r w:rsidR="0004729B">
        <w:t xml:space="preserve"> </w:t>
      </w:r>
      <w:r w:rsidR="00FD1838">
        <w:t>There are two types of bans which can be imposed by the responsible Minister</w:t>
      </w:r>
      <w:r w:rsidR="005A4B3F">
        <w:rPr>
          <w:rStyle w:val="FootnoteReference"/>
        </w:rPr>
        <w:footnoteReference w:id="3"/>
      </w:r>
      <w:r w:rsidR="00112331">
        <w:t xml:space="preserve"> under the Australian Consumer Law</w:t>
      </w:r>
      <w:r w:rsidR="00FD1838">
        <w:t xml:space="preserve">—interim and permanent. </w:t>
      </w:r>
    </w:p>
    <w:p w:rsidR="000E680A" w:rsidRDefault="00112331" w:rsidP="00EC30B1">
      <w:r>
        <w:t>A</w:t>
      </w:r>
      <w:r w:rsidR="00D7382D">
        <w:t>n interim ban</w:t>
      </w:r>
      <w:r>
        <w:t xml:space="preserve"> (s109)</w:t>
      </w:r>
      <w:r w:rsidR="00D7382D">
        <w:t xml:space="preserve"> o</w:t>
      </w:r>
      <w:r w:rsidR="000E680A">
        <w:t xml:space="preserve">n consumer goods may be imposed if </w:t>
      </w:r>
      <w:r w:rsidR="009156D6">
        <w:t xml:space="preserve">a </w:t>
      </w:r>
      <w:r w:rsidR="000E680A">
        <w:t>responsible Minister concludes it:</w:t>
      </w:r>
    </w:p>
    <w:p w:rsidR="000E680A" w:rsidRDefault="000E680A" w:rsidP="0067723D">
      <w:pPr>
        <w:pStyle w:val="Bulletpoint"/>
      </w:pPr>
      <w:r>
        <w:t>will cause or may cause injury</w:t>
      </w:r>
    </w:p>
    <w:p w:rsidR="000E680A" w:rsidRDefault="000E680A" w:rsidP="0067723D">
      <w:pPr>
        <w:pStyle w:val="Bulletpoint"/>
      </w:pPr>
      <w:r>
        <w:t>is reasonably foreseeable that use (or misuse) of the consumer good will cause or may cause injury.</w:t>
      </w:r>
    </w:p>
    <w:p w:rsidR="0028561A" w:rsidRDefault="0028561A" w:rsidP="0028561A">
      <w:pPr>
        <w:pStyle w:val="Bulletpoint"/>
        <w:numPr>
          <w:ilvl w:val="0"/>
          <w:numId w:val="0"/>
        </w:numPr>
      </w:pPr>
      <w:r>
        <w:t>Interim bans initially run for 60 days with the possibility of two 30 day extensions.</w:t>
      </w:r>
    </w:p>
    <w:p w:rsidR="0025449F" w:rsidRDefault="0025449F" w:rsidP="0067723D">
      <w:pPr>
        <w:pStyle w:val="Bulletpoint"/>
        <w:numPr>
          <w:ilvl w:val="0"/>
          <w:numId w:val="0"/>
        </w:numPr>
      </w:pPr>
      <w:r>
        <w:t>An interim ban can also be imposed without delay by the Commonwealth Minister (s132J</w:t>
      </w:r>
      <w:r w:rsidR="009156D6">
        <w:t xml:space="preserve"> of Part XI</w:t>
      </w:r>
      <w:r>
        <w:t xml:space="preserve">, </w:t>
      </w:r>
      <w:r w:rsidRPr="00D06DC0">
        <w:rPr>
          <w:i/>
        </w:rPr>
        <w:t>Competition and Consumer Act</w:t>
      </w:r>
      <w:r w:rsidR="009156D6" w:rsidRPr="00D06DC0">
        <w:rPr>
          <w:i/>
        </w:rPr>
        <w:t xml:space="preserve"> 2010</w:t>
      </w:r>
      <w:r>
        <w:t xml:space="preserve">). </w:t>
      </w:r>
    </w:p>
    <w:p w:rsidR="00A92D7A" w:rsidRDefault="005C6F0E">
      <w:r>
        <w:t xml:space="preserve">The Australian Consumer Law also provides the </w:t>
      </w:r>
      <w:r w:rsidR="009156D6">
        <w:t>Commonwealth</w:t>
      </w:r>
      <w:r>
        <w:t xml:space="preserve"> Minister</w:t>
      </w:r>
      <w:r w:rsidR="0073211F">
        <w:t xml:space="preserve"> </w:t>
      </w:r>
      <w:r>
        <w:t xml:space="preserve">the option of imposing a permanent ban </w:t>
      </w:r>
      <w:r w:rsidR="00112331">
        <w:t>(</w:t>
      </w:r>
      <w:r w:rsidR="00A92D7A">
        <w:t>s114</w:t>
      </w:r>
      <w:r w:rsidR="00112331">
        <w:t>)</w:t>
      </w:r>
      <w:r w:rsidR="00D35931">
        <w:t>.</w:t>
      </w:r>
    </w:p>
    <w:p w:rsidR="0004729B" w:rsidRPr="00724860" w:rsidRDefault="0004729B">
      <w:pPr>
        <w:rPr>
          <w:rFonts w:eastAsia="Times New Roman"/>
          <w:b/>
          <w:bCs/>
          <w:color w:val="000000"/>
          <w:sz w:val="24"/>
        </w:rPr>
      </w:pPr>
      <w:r>
        <w:br w:type="page"/>
      </w:r>
    </w:p>
    <w:p w:rsidR="00583F48" w:rsidRDefault="00583F48" w:rsidP="0067723D">
      <w:pPr>
        <w:pStyle w:val="Heading3"/>
      </w:pPr>
      <w:r>
        <w:t>Notice requirements</w:t>
      </w:r>
      <w:r w:rsidR="006C2085">
        <w:t xml:space="preserve"> for bans</w:t>
      </w:r>
    </w:p>
    <w:p w:rsidR="004D7E40" w:rsidRDefault="0099707D" w:rsidP="00EC30B1">
      <w:r>
        <w:t xml:space="preserve">When </w:t>
      </w:r>
      <w:r w:rsidR="009156D6">
        <w:t xml:space="preserve">imposing </w:t>
      </w:r>
      <w:r>
        <w:t xml:space="preserve">interim </w:t>
      </w:r>
      <w:r w:rsidR="00FE66CD">
        <w:t>or permanent bans, the Minister</w:t>
      </w:r>
      <w:r w:rsidR="00FD1838">
        <w:t xml:space="preserve"> and the ACCC</w:t>
      </w:r>
      <w:r w:rsidR="00FE66CD">
        <w:t xml:space="preserve"> </w:t>
      </w:r>
      <w:r>
        <w:t xml:space="preserve">must </w:t>
      </w:r>
      <w:r w:rsidR="00370230">
        <w:t xml:space="preserve">satisfy </w:t>
      </w:r>
      <w:r w:rsidR="00FD1838">
        <w:t xml:space="preserve">a number of steps under the </w:t>
      </w:r>
      <w:r w:rsidR="00996AD5">
        <w:t>Competition and Consumer Act</w:t>
      </w:r>
      <w:r w:rsidR="00FD1838">
        <w:t>. For example, t</w:t>
      </w:r>
      <w:r w:rsidR="004D7E40">
        <w:t>his includes providing</w:t>
      </w:r>
      <w:r w:rsidR="009156D6">
        <w:t xml:space="preserve"> to suppliers</w:t>
      </w:r>
      <w:r w:rsidR="004D7E40">
        <w:t>:</w:t>
      </w:r>
    </w:p>
    <w:p w:rsidR="009156D6" w:rsidRDefault="009156D6" w:rsidP="0067723D">
      <w:pPr>
        <w:pStyle w:val="Bulletpoint"/>
      </w:pPr>
      <w:r>
        <w:t>a summary of the reasons for the proposed ban</w:t>
      </w:r>
    </w:p>
    <w:p w:rsidR="004D7E40" w:rsidRDefault="004D7E40" w:rsidP="0067723D">
      <w:pPr>
        <w:pStyle w:val="Bulletpoint"/>
      </w:pPr>
      <w:r>
        <w:t xml:space="preserve">a </w:t>
      </w:r>
      <w:r w:rsidR="008A0025">
        <w:t xml:space="preserve">copy of the </w:t>
      </w:r>
      <w:r w:rsidR="009156D6">
        <w:t xml:space="preserve">proposed </w:t>
      </w:r>
      <w:r w:rsidR="008A0025">
        <w:t xml:space="preserve">ban notice </w:t>
      </w:r>
    </w:p>
    <w:p w:rsidR="00A21294" w:rsidRDefault="00FD1838" w:rsidP="0067723D">
      <w:pPr>
        <w:pStyle w:val="Bulletpoint"/>
      </w:pPr>
      <w:r>
        <w:t>an</w:t>
      </w:r>
      <w:r w:rsidR="008A0025">
        <w:t xml:space="preserve"> </w:t>
      </w:r>
      <w:r w:rsidR="00996AD5">
        <w:t>opportunity for them to</w:t>
      </w:r>
      <w:r w:rsidR="008A0025">
        <w:t xml:space="preserve"> conference</w:t>
      </w:r>
      <w:r w:rsidR="00996AD5">
        <w:t xml:space="preserve"> with the Minister/ACCC</w:t>
      </w:r>
      <w:r w:rsidR="008A0025">
        <w:t xml:space="preserve"> </w:t>
      </w:r>
      <w:r w:rsidR="0025449F">
        <w:t>about the ban (ss132</w:t>
      </w:r>
      <w:r w:rsidR="00DE5FD1">
        <w:t>, 132E</w:t>
      </w:r>
      <w:r w:rsidR="009156D6">
        <w:t xml:space="preserve"> of Part XI, </w:t>
      </w:r>
      <w:r w:rsidR="009156D6" w:rsidRPr="00D06DC0">
        <w:rPr>
          <w:i/>
        </w:rPr>
        <w:t>Competition and Consumer Act 2010</w:t>
      </w:r>
      <w:r w:rsidR="0025449F">
        <w:t xml:space="preserve">). </w:t>
      </w:r>
    </w:p>
    <w:p w:rsidR="00B9081F" w:rsidRPr="00724860" w:rsidRDefault="00B9081F">
      <w:pPr>
        <w:rPr>
          <w:rFonts w:ascii="Lucida Fax" w:eastAsia="Times New Roman" w:hAnsi="Lucida Fax"/>
          <w:bCs/>
          <w:color w:val="51626F"/>
          <w:sz w:val="32"/>
          <w:szCs w:val="28"/>
        </w:rPr>
      </w:pPr>
      <w:r>
        <w:br w:type="page"/>
      </w:r>
    </w:p>
    <w:p w:rsidR="004415C6" w:rsidRDefault="004415C6" w:rsidP="0067723D">
      <w:pPr>
        <w:pStyle w:val="Heading1"/>
      </w:pPr>
      <w:r>
        <w:t>Step by step guide to develop a mandatory standard</w:t>
      </w:r>
    </w:p>
    <w:p w:rsidR="00EC30B1" w:rsidRDefault="00091AFF" w:rsidP="00091AFF">
      <w:pPr>
        <w:pStyle w:val="Heading2"/>
      </w:pPr>
      <w:r>
        <w:t>Stage 1:  Prepare, research and conduct preliminary consultation</w:t>
      </w:r>
    </w:p>
    <w:p w:rsidR="00091AFF" w:rsidRPr="00091AFF" w:rsidRDefault="00BB1712" w:rsidP="00BB1712">
      <w:pPr>
        <w:pStyle w:val="Heading3"/>
      </w:pPr>
      <w:r>
        <w:t xml:space="preserve">1. </w:t>
      </w:r>
      <w:r w:rsidR="00820DB6">
        <w:t>Conduct</w:t>
      </w:r>
      <w:r w:rsidR="002770C3">
        <w:t xml:space="preserve"> preliminary research</w:t>
      </w:r>
    </w:p>
    <w:p w:rsidR="00EC30B1" w:rsidRDefault="00EC30B1" w:rsidP="00EC30B1">
      <w:r>
        <w:t>Gain an understanding of the relevant consumer goods/services, any associated hazards and any applicable standards/regulation in Australia or overseas.</w:t>
      </w:r>
      <w:r w:rsidR="00820DB6">
        <w:t xml:space="preserve"> </w:t>
      </w:r>
    </w:p>
    <w:p w:rsidR="00EC30B1" w:rsidRDefault="00BB1712" w:rsidP="00BB1712">
      <w:pPr>
        <w:pStyle w:val="Heading3"/>
      </w:pPr>
      <w:r>
        <w:t xml:space="preserve">2. </w:t>
      </w:r>
      <w:r w:rsidR="00EC30B1">
        <w:t>Undertake market research</w:t>
      </w:r>
    </w:p>
    <w:p w:rsidR="00EC30B1" w:rsidRDefault="00EC30B1" w:rsidP="00EC30B1">
      <w:r>
        <w:t xml:space="preserve">Identify the Australian market participants, sales figures, product range, </w:t>
      </w:r>
      <w:r w:rsidR="00D95380">
        <w:t>and degree</w:t>
      </w:r>
      <w:r>
        <w:t xml:space="preserve"> of compliance with any voluntary standard and develop a list of stakeholders.</w:t>
      </w:r>
      <w:r w:rsidR="001A2B20">
        <w:t xml:space="preserve"> If relevant, review any concerns raised about the operation of </w:t>
      </w:r>
      <w:r w:rsidR="00A402DA">
        <w:t xml:space="preserve">any </w:t>
      </w:r>
      <w:r w:rsidR="001A2B20">
        <w:t>current mandatory standard.</w:t>
      </w:r>
    </w:p>
    <w:p w:rsidR="00EC30B1" w:rsidRDefault="00BB1712" w:rsidP="00BB1712">
      <w:pPr>
        <w:pStyle w:val="Heading3"/>
      </w:pPr>
      <w:r>
        <w:t>3.</w:t>
      </w:r>
      <w:r w:rsidR="00D95380">
        <w:t xml:space="preserve"> </w:t>
      </w:r>
      <w:r w:rsidR="00EC30B1">
        <w:t>Review existing regulatory arrangements</w:t>
      </w:r>
    </w:p>
    <w:p w:rsidR="00EC30B1" w:rsidRDefault="00EC30B1" w:rsidP="00EC30B1">
      <w:r>
        <w:t>Develop a comprehensive understanding of any regulation or quasi-regulation of the good</w:t>
      </w:r>
      <w:r w:rsidR="001A2B20">
        <w:t>s</w:t>
      </w:r>
      <w:r>
        <w:t>/service</w:t>
      </w:r>
      <w:r w:rsidR="001A2B20">
        <w:t>s</w:t>
      </w:r>
      <w:r>
        <w:t xml:space="preserve"> in Australia or overseas.</w:t>
      </w:r>
      <w:r w:rsidR="001A2B20">
        <w:t xml:space="preserve"> If undertaking a review of a mandatory standard, consider any regulatory developments since it came into effect.</w:t>
      </w:r>
      <w:r>
        <w:t xml:space="preserve">  </w:t>
      </w:r>
    </w:p>
    <w:p w:rsidR="00EC30B1" w:rsidRDefault="00BB1712" w:rsidP="00BB1712">
      <w:pPr>
        <w:pStyle w:val="Heading3"/>
      </w:pPr>
      <w:r>
        <w:t xml:space="preserve">4. </w:t>
      </w:r>
      <w:r w:rsidR="00EC30B1">
        <w:t xml:space="preserve">Evaluate the effectiveness of </w:t>
      </w:r>
      <w:r w:rsidR="00A402DA">
        <w:t xml:space="preserve">any </w:t>
      </w:r>
      <w:r w:rsidR="00EC30B1">
        <w:t>current voluntary standard (Australian, ISO, etc) (if applicable)</w:t>
      </w:r>
    </w:p>
    <w:p w:rsidR="00B52B77" w:rsidRDefault="00B52B77" w:rsidP="00B52B77">
      <w:r>
        <w:t xml:space="preserve">Develop a comprehensive understanding of the voluntary standard’s scope and test methods. </w:t>
      </w:r>
    </w:p>
    <w:p w:rsidR="00B52B77" w:rsidRDefault="00EC3626" w:rsidP="00B52B77">
      <w:r>
        <w:t>D</w:t>
      </w:r>
      <w:r w:rsidR="00B52B77">
        <w:t xml:space="preserve">etermine </w:t>
      </w:r>
      <w:r w:rsidR="00EC30B1">
        <w:t>whether declaring a voluntary standard (eg an Australian Standard) as a mandatory standard is appropriate in the circumstances, or whether the mandatory standard should be developed independently.</w:t>
      </w:r>
      <w:r w:rsidR="00B52B77">
        <w:t xml:space="preserve"> If applicable, concurrently participate in the Standards Australia committee</w:t>
      </w:r>
      <w:r w:rsidR="00C966B4">
        <w:t xml:space="preserve"> process</w:t>
      </w:r>
      <w:r w:rsidR="00B52B77">
        <w:t xml:space="preserve"> developing or reviewing th</w:t>
      </w:r>
      <w:r w:rsidR="00B9081F">
        <w:t xml:space="preserve">e relevant voluntary standard. </w:t>
      </w:r>
    </w:p>
    <w:p w:rsidR="00EC30B1" w:rsidRDefault="00BB1712" w:rsidP="00BB1712">
      <w:pPr>
        <w:pStyle w:val="Heading3"/>
      </w:pPr>
      <w:r>
        <w:t xml:space="preserve">5. </w:t>
      </w:r>
      <w:r w:rsidR="00EC30B1">
        <w:t>Test goods/services (if appropriate)</w:t>
      </w:r>
    </w:p>
    <w:p w:rsidR="00EC30B1" w:rsidRDefault="00EC30B1" w:rsidP="00EC30B1">
      <w:r>
        <w:t xml:space="preserve">Purchase an appropriate range/sample of products and arrange any necessary testing to gauge the extent of any hazard and/or compliance </w:t>
      </w:r>
      <w:r w:rsidR="000361C0">
        <w:t xml:space="preserve">with </w:t>
      </w:r>
      <w:r>
        <w:t>any existing standard.</w:t>
      </w:r>
    </w:p>
    <w:p w:rsidR="00C51C5A" w:rsidRDefault="00097B08" w:rsidP="0067723D">
      <w:pPr>
        <w:pStyle w:val="Heading3"/>
      </w:pPr>
      <w:r>
        <w:t>6</w:t>
      </w:r>
      <w:r w:rsidR="00C51C5A">
        <w:t>. Obtain and analyse injury data</w:t>
      </w:r>
    </w:p>
    <w:p w:rsidR="00EC30B1" w:rsidRDefault="00EC30B1" w:rsidP="00EC30B1">
      <w:r>
        <w:t>Research available sources of injury data or incident information relevant to the good</w:t>
      </w:r>
      <w:r w:rsidR="00B52B77">
        <w:t>s</w:t>
      </w:r>
      <w:r>
        <w:t>/service</w:t>
      </w:r>
      <w:r w:rsidR="00B52B77">
        <w:t xml:space="preserve">s. </w:t>
      </w:r>
      <w:r>
        <w:t>These can include the ACCC Clearinghouse, ACCC Infocentre data/reports, recalls, available overseas data, university injury surveillance units, National Coroners’ Information Service records, Choice Magazine reports.</w:t>
      </w:r>
    </w:p>
    <w:p w:rsidR="000F34F8" w:rsidRDefault="00097B08" w:rsidP="00BB1712">
      <w:pPr>
        <w:pStyle w:val="Heading3"/>
      </w:pPr>
      <w:r>
        <w:t>7</w:t>
      </w:r>
      <w:r w:rsidR="00BB1712">
        <w:t xml:space="preserve">. </w:t>
      </w:r>
      <w:r w:rsidR="00EC30B1">
        <w:t xml:space="preserve">If appropriate, advise the Commonwealth Minister that </w:t>
      </w:r>
      <w:r w:rsidR="000361C0">
        <w:t xml:space="preserve">the safety of particular consumer goods is under investigation and </w:t>
      </w:r>
      <w:r w:rsidR="0067723D">
        <w:t>regulation is being considered.</w:t>
      </w:r>
    </w:p>
    <w:p w:rsidR="00B9081F" w:rsidRPr="0028561A" w:rsidRDefault="000F34F8">
      <w:r>
        <w:t>Also consult with</w:t>
      </w:r>
      <w:r w:rsidR="00B9081F">
        <w:t xml:space="preserve"> states and territories</w:t>
      </w:r>
      <w:r w:rsidR="0036217F">
        <w:t>’ consumer protection agencies</w:t>
      </w:r>
      <w:r w:rsidR="00B9081F">
        <w:t xml:space="preserve"> </w:t>
      </w:r>
      <w:r>
        <w:t>if relevant.</w:t>
      </w:r>
    </w:p>
    <w:p w:rsidR="00DA1AAA" w:rsidRPr="00724860" w:rsidRDefault="00DA1AAA">
      <w:pPr>
        <w:rPr>
          <w:rFonts w:eastAsia="Times New Roman"/>
          <w:b/>
          <w:bCs/>
          <w:color w:val="51626F"/>
          <w:sz w:val="28"/>
          <w:szCs w:val="26"/>
        </w:rPr>
      </w:pPr>
      <w:r>
        <w:br w:type="page"/>
      </w:r>
    </w:p>
    <w:p w:rsidR="00EC30B1" w:rsidRDefault="00EC30B1" w:rsidP="00E43779">
      <w:pPr>
        <w:pStyle w:val="Heading2"/>
      </w:pPr>
      <w:r>
        <w:t xml:space="preserve">Stage 2: Consider the case for </w:t>
      </w:r>
      <w:r w:rsidR="00CB65DA">
        <w:t>regulation</w:t>
      </w:r>
      <w:r>
        <w:t xml:space="preserve"> to address the hazard</w:t>
      </w:r>
      <w:r w:rsidR="00E43779">
        <w:t xml:space="preserve"> and draft relevant documentation </w:t>
      </w:r>
    </w:p>
    <w:p w:rsidR="00EC30B1" w:rsidRDefault="00097B08" w:rsidP="00BB1712">
      <w:pPr>
        <w:pStyle w:val="Heading3"/>
      </w:pPr>
      <w:r>
        <w:t>8</w:t>
      </w:r>
      <w:r w:rsidR="00BB1712">
        <w:t xml:space="preserve">. </w:t>
      </w:r>
      <w:r w:rsidR="00EC30B1">
        <w:t>Notify the Office of</w:t>
      </w:r>
      <w:r w:rsidR="00CB65DA">
        <w:t xml:space="preserve"> Best Practice Regulation about</w:t>
      </w:r>
      <w:r w:rsidR="00EC30B1">
        <w:t xml:space="preserve"> the ACCC’s regulatory proposal</w:t>
      </w:r>
    </w:p>
    <w:p w:rsidR="00CB65DA" w:rsidRDefault="00EC30B1" w:rsidP="0067723D">
      <w:r>
        <w:t>Notify the Office of Best Practice Regulation (OBPR) that the ACCC is considering</w:t>
      </w:r>
      <w:r w:rsidR="00CB65DA">
        <w:t xml:space="preserve"> </w:t>
      </w:r>
      <w:r w:rsidR="000F34F8">
        <w:t>developing or reviewing a mandatory standard</w:t>
      </w:r>
      <w:r w:rsidR="004D6A4B">
        <w:t xml:space="preserve"> to address the hazard associated with the consumer good</w:t>
      </w:r>
      <w:r w:rsidR="00B11B52">
        <w:t xml:space="preserve"> or product related service</w:t>
      </w:r>
      <w:r w:rsidR="004D6A4B">
        <w:t>.</w:t>
      </w:r>
    </w:p>
    <w:p w:rsidR="00CB65DA" w:rsidRDefault="00CB65DA" w:rsidP="00EC30B1">
      <w:r>
        <w:t>Submit</w:t>
      </w:r>
      <w:r w:rsidR="00EC30B1">
        <w:t xml:space="preserve"> preliminary responses to the seven Regulation Impact Statement (RIS) questions</w:t>
      </w:r>
      <w:r>
        <w:t>,</w:t>
      </w:r>
      <w:r w:rsidR="00EC30B1">
        <w:t xml:space="preserve"> outlined in </w:t>
      </w:r>
      <w:r w:rsidR="00EC30B1" w:rsidRPr="0067723D">
        <w:rPr>
          <w:i/>
        </w:rPr>
        <w:t>The Australian Government Guide to Regulation</w:t>
      </w:r>
      <w:r>
        <w:t>, to the OBPR:</w:t>
      </w:r>
    </w:p>
    <w:p w:rsidR="00CB65DA" w:rsidRDefault="00CB65DA" w:rsidP="00CB65DA">
      <w:pPr>
        <w:pStyle w:val="ListNumber"/>
      </w:pPr>
      <w:r>
        <w:t>What is the problem you are trying to solve?</w:t>
      </w:r>
    </w:p>
    <w:p w:rsidR="00CB65DA" w:rsidRDefault="00CB65DA" w:rsidP="00CB65DA">
      <w:pPr>
        <w:pStyle w:val="ListNumber"/>
      </w:pPr>
      <w:r>
        <w:t>Why is government action needed?</w:t>
      </w:r>
    </w:p>
    <w:p w:rsidR="00CB65DA" w:rsidRDefault="00CB65DA" w:rsidP="00CB65DA">
      <w:pPr>
        <w:pStyle w:val="ListNumber"/>
      </w:pPr>
      <w:r>
        <w:t>What policy options are you considering?</w:t>
      </w:r>
    </w:p>
    <w:p w:rsidR="00CB65DA" w:rsidRDefault="00CB65DA" w:rsidP="00CB65DA">
      <w:pPr>
        <w:pStyle w:val="ListNumber"/>
      </w:pPr>
      <w:r>
        <w:t>What is the likely net benefit of each option?</w:t>
      </w:r>
    </w:p>
    <w:p w:rsidR="00CB65DA" w:rsidRDefault="00CB65DA" w:rsidP="00CB65DA">
      <w:pPr>
        <w:pStyle w:val="ListNumber"/>
      </w:pPr>
      <w:r>
        <w:t>Who will you consult about these options and how will you consult them?</w:t>
      </w:r>
    </w:p>
    <w:p w:rsidR="00CB65DA" w:rsidRDefault="00CB65DA" w:rsidP="00CB65DA">
      <w:pPr>
        <w:pStyle w:val="ListNumber"/>
      </w:pPr>
      <w:r>
        <w:t>What is the best option from those you have considered?</w:t>
      </w:r>
    </w:p>
    <w:p w:rsidR="00CB65DA" w:rsidRDefault="00CB65DA" w:rsidP="00CB65DA">
      <w:pPr>
        <w:pStyle w:val="ListNumber"/>
      </w:pPr>
      <w:r>
        <w:t>How will you implement and evaluate your chosen option?</w:t>
      </w:r>
    </w:p>
    <w:p w:rsidR="00C966B4" w:rsidRDefault="00EC30B1" w:rsidP="00EC30B1">
      <w:r>
        <w:t>The OBPR will assess the responses and determine whether a RIS is required and what format it should be provided.</w:t>
      </w:r>
      <w:r w:rsidR="00B723B3">
        <w:t xml:space="preserve"> </w:t>
      </w:r>
    </w:p>
    <w:p w:rsidR="00B723B3" w:rsidRDefault="00097B08" w:rsidP="00753ED0">
      <w:pPr>
        <w:pStyle w:val="Heading3"/>
      </w:pPr>
      <w:r>
        <w:t>9</w:t>
      </w:r>
      <w:r w:rsidR="00753ED0" w:rsidRPr="00753ED0">
        <w:t>.</w:t>
      </w:r>
      <w:r w:rsidR="00753ED0">
        <w:t xml:space="preserve"> </w:t>
      </w:r>
      <w:r w:rsidR="00B723B3">
        <w:t xml:space="preserve">Draft </w:t>
      </w:r>
      <w:r w:rsidR="00C966B4">
        <w:t>RIS</w:t>
      </w:r>
      <w:r w:rsidR="00D66A8A">
        <w:t xml:space="preserve"> for proposed mandatory standard</w:t>
      </w:r>
    </w:p>
    <w:p w:rsidR="00EC30B1" w:rsidRPr="00EF79D5" w:rsidRDefault="00A40B09" w:rsidP="00E14535">
      <w:pPr>
        <w:rPr>
          <w:rStyle w:val="Hyperlink"/>
          <w:color w:val="auto"/>
          <w:u w:val="none"/>
        </w:rPr>
      </w:pPr>
      <w:r>
        <w:t>I</w:t>
      </w:r>
      <w:r w:rsidR="00EC30B1">
        <w:t>nclude responses to the first four RIS questions</w:t>
      </w:r>
      <w:r>
        <w:t xml:space="preserve"> in </w:t>
      </w:r>
      <w:r w:rsidR="00B11B52">
        <w:t xml:space="preserve">the </w:t>
      </w:r>
      <w:r>
        <w:t>draft RIS</w:t>
      </w:r>
      <w:r w:rsidR="00EC30B1">
        <w:t xml:space="preserve"> and outline the proposed consultation plan.</w:t>
      </w:r>
      <w:r w:rsidR="00EF79D5">
        <w:t xml:space="preserve"> </w:t>
      </w:r>
      <w:r w:rsidR="00951F65">
        <w:t xml:space="preserve">Refer to </w:t>
      </w:r>
      <w:r w:rsidR="00E14535">
        <w:t xml:space="preserve">the </w:t>
      </w:r>
      <w:hyperlink r:id="rId11" w:history="1">
        <w:r w:rsidR="00E14535" w:rsidRPr="00E14535">
          <w:rPr>
            <w:rStyle w:val="Hyperlink"/>
          </w:rPr>
          <w:t>Australian Government Guide to Regulation</w:t>
        </w:r>
      </w:hyperlink>
      <w:r w:rsidR="00E14535">
        <w:t xml:space="preserve"> for further guidance about drafting the RIS.</w:t>
      </w:r>
      <w:r>
        <w:t xml:space="preserve"> </w:t>
      </w:r>
    </w:p>
    <w:p w:rsidR="00EC30B1" w:rsidRDefault="00097B08" w:rsidP="00400143">
      <w:pPr>
        <w:pStyle w:val="Heading3"/>
      </w:pPr>
      <w:r>
        <w:t>10</w:t>
      </w:r>
      <w:r w:rsidR="00400143">
        <w:t xml:space="preserve">. </w:t>
      </w:r>
      <w:r w:rsidR="00EC30B1">
        <w:t>Submit draft RIS</w:t>
      </w:r>
      <w:r w:rsidR="00D66A8A">
        <w:t xml:space="preserve"> for mandatory standard</w:t>
      </w:r>
      <w:r w:rsidR="00951F65">
        <w:t xml:space="preserve"> to ACCC Chief Operating Officer</w:t>
      </w:r>
      <w:r w:rsidR="00D66A8A">
        <w:t xml:space="preserve"> </w:t>
      </w:r>
    </w:p>
    <w:p w:rsidR="00753ED0" w:rsidRDefault="00097B08" w:rsidP="00EC30B1">
      <w:r>
        <w:t xml:space="preserve">Submit </w:t>
      </w:r>
      <w:r w:rsidR="00951F65">
        <w:t>the</w:t>
      </w:r>
      <w:r w:rsidR="00753ED0">
        <w:t xml:space="preserve"> draft</w:t>
      </w:r>
      <w:r w:rsidR="00EC30B1">
        <w:t xml:space="preserve"> RIS to ACCC Chief Operating Officer</w:t>
      </w:r>
      <w:r w:rsidR="00753ED0">
        <w:t xml:space="preserve"> (COO)</w:t>
      </w:r>
      <w:r w:rsidR="00EC30B1">
        <w:t xml:space="preserve"> to certify that it meets the requirements of the </w:t>
      </w:r>
      <w:r w:rsidR="00EC30B1" w:rsidRPr="00B9081F">
        <w:rPr>
          <w:i/>
        </w:rPr>
        <w:t xml:space="preserve">Australian Government Guide to Regulation </w:t>
      </w:r>
      <w:r w:rsidR="00EC30B1">
        <w:t>at the ‘early assessment’ stage.</w:t>
      </w:r>
      <w:r w:rsidR="00753ED0">
        <w:t xml:space="preserve"> </w:t>
      </w:r>
    </w:p>
    <w:p w:rsidR="00EC30B1" w:rsidRDefault="00097B08" w:rsidP="00753ED0">
      <w:pPr>
        <w:pStyle w:val="Heading3"/>
      </w:pPr>
      <w:r>
        <w:t xml:space="preserve">11 </w:t>
      </w:r>
      <w:r w:rsidR="00EC30B1">
        <w:t xml:space="preserve">Submit draft </w:t>
      </w:r>
      <w:r w:rsidR="00B11B52">
        <w:t>RIS</w:t>
      </w:r>
      <w:r w:rsidR="00EC30B1">
        <w:t xml:space="preserve"> to the </w:t>
      </w:r>
      <w:r w:rsidR="005E610E">
        <w:t>OBPR</w:t>
      </w:r>
      <w:r w:rsidR="00EC30B1">
        <w:t xml:space="preserve"> and consult with </w:t>
      </w:r>
      <w:r w:rsidR="0036217F">
        <w:t>states and territories</w:t>
      </w:r>
      <w:r w:rsidR="001404F9">
        <w:t xml:space="preserve"> about mandatory standard</w:t>
      </w:r>
      <w:r w:rsidR="00EC30B1">
        <w:t xml:space="preserve"> </w:t>
      </w:r>
    </w:p>
    <w:p w:rsidR="00EC30B1" w:rsidRDefault="002469E4" w:rsidP="00EC30B1">
      <w:r>
        <w:t xml:space="preserve">Submit </w:t>
      </w:r>
      <w:r w:rsidR="00EC30B1">
        <w:t>the draft RIS t</w:t>
      </w:r>
      <w:r w:rsidR="001E549D">
        <w:t xml:space="preserve">o OBPR for early assessment. </w:t>
      </w:r>
      <w:r w:rsidR="00EC30B1">
        <w:t>Amend the draft RIS based on OBPR f</w:t>
      </w:r>
      <w:r w:rsidR="001E549D">
        <w:t xml:space="preserve">eedback if required. </w:t>
      </w:r>
      <w:r w:rsidR="00097B08">
        <w:t>Then</w:t>
      </w:r>
      <w:r w:rsidR="00EC30B1">
        <w:t xml:space="preserve"> consult </w:t>
      </w:r>
      <w:r w:rsidR="00695687">
        <w:t xml:space="preserve">further </w:t>
      </w:r>
      <w:r w:rsidR="00EC30B1">
        <w:t>with</w:t>
      </w:r>
      <w:r w:rsidR="00B9081F">
        <w:t xml:space="preserve"> </w:t>
      </w:r>
      <w:r w:rsidR="0036217F">
        <w:t>states and territories’ consumer protection agencies</w:t>
      </w:r>
      <w:r w:rsidR="00EC30B1">
        <w:t>.</w:t>
      </w:r>
    </w:p>
    <w:p w:rsidR="0028561A" w:rsidRDefault="00097B08" w:rsidP="003F279A">
      <w:pPr>
        <w:pStyle w:val="Heading3"/>
      </w:pPr>
      <w:r>
        <w:t xml:space="preserve">12 </w:t>
      </w:r>
      <w:r w:rsidR="00EC30B1">
        <w:t>Advise the Commonwealth Minister that formal public consultation</w:t>
      </w:r>
      <w:r w:rsidR="00B11B52">
        <w:t xml:space="preserve"> on the proposed mandatory standard</w:t>
      </w:r>
      <w:r w:rsidR="00EC30B1">
        <w:t xml:space="preserve"> is about to start</w:t>
      </w:r>
    </w:p>
    <w:p w:rsidR="00EC30B1" w:rsidRDefault="00097B08" w:rsidP="00316B1F">
      <w:pPr>
        <w:pStyle w:val="Heading3"/>
      </w:pPr>
      <w:r>
        <w:t>13</w:t>
      </w:r>
      <w:r w:rsidR="00BB1712">
        <w:t xml:space="preserve">. </w:t>
      </w:r>
      <w:r w:rsidR="00EC30B1">
        <w:t>Undertake public consultation</w:t>
      </w:r>
    </w:p>
    <w:p w:rsidR="00EC30B1" w:rsidRDefault="002469E4" w:rsidP="00EC30B1">
      <w:r>
        <w:lastRenderedPageBreak/>
        <w:t xml:space="preserve">Undertake </w:t>
      </w:r>
      <w:r w:rsidR="00EC30B1">
        <w:t>broad public/stakeholder consultation on the draft RIS.</w:t>
      </w:r>
      <w:r w:rsidR="00316B1F">
        <w:t xml:space="preserve"> </w:t>
      </w:r>
      <w:r w:rsidR="00EC30B1">
        <w:t>If possible</w:t>
      </w:r>
      <w:r w:rsidR="00316B1F">
        <w:t>,</w:t>
      </w:r>
      <w:r w:rsidR="00EC30B1">
        <w:t xml:space="preserve"> provide the complementary draft instrument being considered under any regulatory option set out in the draft RIS</w:t>
      </w:r>
      <w:r w:rsidR="00BD6361">
        <w:t xml:space="preserve"> to stakeholders</w:t>
      </w:r>
      <w:r w:rsidR="00316B1F">
        <w:t>.</w:t>
      </w:r>
    </w:p>
    <w:p w:rsidR="00EC30B1" w:rsidRDefault="00097B08" w:rsidP="001404F9">
      <w:pPr>
        <w:pStyle w:val="Heading3"/>
      </w:pPr>
      <w:r>
        <w:t>14</w:t>
      </w:r>
      <w:r w:rsidR="001404F9">
        <w:t xml:space="preserve">. </w:t>
      </w:r>
      <w:r w:rsidR="00EC30B1">
        <w:t xml:space="preserve">Consider public comments and finalise </w:t>
      </w:r>
      <w:r w:rsidR="005E610E">
        <w:t>RIS</w:t>
      </w:r>
      <w:r w:rsidR="001404F9">
        <w:t xml:space="preserve"> for proposed mandatory standard</w:t>
      </w:r>
    </w:p>
    <w:p w:rsidR="00EC30B1" w:rsidRDefault="00097B08" w:rsidP="00EC30B1">
      <w:r>
        <w:t>E</w:t>
      </w:r>
      <w:r w:rsidR="00EC30B1">
        <w:t>xamine and consider all comments received, and amend the draft RIS accordingly.</w:t>
      </w:r>
      <w:r w:rsidR="00B11B52">
        <w:t xml:space="preserve"> Where necessary, discuss and clarify submissions with relevant stakeholders.</w:t>
      </w:r>
      <w:r w:rsidR="00EC30B1">
        <w:t xml:space="preserve">  </w:t>
      </w:r>
      <w:r w:rsidR="00381C35">
        <w:t>Where stakeholder submissions result in significant changes to the proposal, c</w:t>
      </w:r>
      <w:r w:rsidR="00EC30B1">
        <w:t>onsult with stakeholders on the final proposal.</w:t>
      </w:r>
    </w:p>
    <w:p w:rsidR="00EC30B1" w:rsidRDefault="00097B08" w:rsidP="00D66A8A">
      <w:pPr>
        <w:pStyle w:val="Heading3"/>
      </w:pPr>
      <w:r>
        <w:t xml:space="preserve">15 </w:t>
      </w:r>
      <w:r w:rsidR="00EC30B1">
        <w:t xml:space="preserve">Submit </w:t>
      </w:r>
      <w:r w:rsidR="009A352B">
        <w:t xml:space="preserve">final </w:t>
      </w:r>
      <w:r w:rsidR="005E610E">
        <w:t>RIS</w:t>
      </w:r>
      <w:r w:rsidR="00EC30B1">
        <w:t xml:space="preserve"> to Chief Operating Officer for signature</w:t>
      </w:r>
    </w:p>
    <w:p w:rsidR="00EC30B1" w:rsidRDefault="002469E4" w:rsidP="00EC30B1">
      <w:r>
        <w:t xml:space="preserve">Submit </w:t>
      </w:r>
      <w:r w:rsidR="00EC30B1">
        <w:t>the final RIS to the Chief Opera</w:t>
      </w:r>
      <w:r w:rsidR="00B9081F">
        <w:t>ting Officer for certification.</w:t>
      </w:r>
      <w:r w:rsidR="00EC30B1">
        <w:t xml:space="preserve"> </w:t>
      </w:r>
    </w:p>
    <w:p w:rsidR="00EC30B1" w:rsidRDefault="00097B08" w:rsidP="009A352B">
      <w:pPr>
        <w:pStyle w:val="Heading3"/>
      </w:pPr>
      <w:r>
        <w:t>16</w:t>
      </w:r>
      <w:r w:rsidR="009A352B" w:rsidRPr="002469E4">
        <w:t>. Submit</w:t>
      </w:r>
      <w:r w:rsidR="00D66A8A" w:rsidRPr="002469E4">
        <w:t xml:space="preserve"> final</w:t>
      </w:r>
      <w:r w:rsidR="009A352B" w:rsidRPr="002469E4">
        <w:t xml:space="preserve"> </w:t>
      </w:r>
      <w:r w:rsidR="005E610E" w:rsidRPr="002469E4">
        <w:t>RIS</w:t>
      </w:r>
      <w:r w:rsidR="00EC30B1" w:rsidRPr="002469E4">
        <w:t xml:space="preserve"> to </w:t>
      </w:r>
      <w:r w:rsidR="005E610E" w:rsidRPr="002469E4">
        <w:t>OBPR</w:t>
      </w:r>
      <w:r w:rsidR="00D66A8A" w:rsidRPr="002469E4">
        <w:t xml:space="preserve"> </w:t>
      </w:r>
    </w:p>
    <w:p w:rsidR="00EC30B1" w:rsidRDefault="002469E4" w:rsidP="00EC30B1">
      <w:r>
        <w:t xml:space="preserve">Submit </w:t>
      </w:r>
      <w:r w:rsidR="009A352B">
        <w:t xml:space="preserve">final RIS to OBPR for </w:t>
      </w:r>
      <w:r w:rsidR="00B11B52">
        <w:t>final assessment</w:t>
      </w:r>
      <w:r w:rsidR="009A352B">
        <w:t>.</w:t>
      </w:r>
      <w:r w:rsidR="00B11B52">
        <w:t xml:space="preserve"> Final assessment may be a two-part process</w:t>
      </w:r>
      <w:r w:rsidR="00BD4F04">
        <w:t xml:space="preserve">. Refer to the </w:t>
      </w:r>
      <w:hyperlink r:id="rId12" w:history="1">
        <w:r w:rsidR="00BD4F04" w:rsidRPr="00E14535">
          <w:rPr>
            <w:rStyle w:val="Hyperlink"/>
          </w:rPr>
          <w:t>Australian Government Guide to Regulation</w:t>
        </w:r>
      </w:hyperlink>
      <w:r w:rsidR="00BD4F04">
        <w:t xml:space="preserve"> for further guidance</w:t>
      </w:r>
    </w:p>
    <w:p w:rsidR="00EC30B1" w:rsidRDefault="00097B08" w:rsidP="00D66A8A">
      <w:pPr>
        <w:pStyle w:val="Heading3"/>
      </w:pPr>
      <w:r>
        <w:t>17</w:t>
      </w:r>
      <w:r w:rsidR="002B76BF">
        <w:t xml:space="preserve">. </w:t>
      </w:r>
      <w:r w:rsidR="00EC30B1">
        <w:t>Finalise the legislative instrument to make or declare a mandatory standard</w:t>
      </w:r>
    </w:p>
    <w:p w:rsidR="00367E59" w:rsidRDefault="005E610E" w:rsidP="00EC30B1">
      <w:r>
        <w:t>Ensure that an explanatory statement accompanies the legislative instrument</w:t>
      </w:r>
      <w:r w:rsidR="00951F65">
        <w:t xml:space="preserve"> for the mandatory standard</w:t>
      </w:r>
      <w:r>
        <w:t>.</w:t>
      </w:r>
    </w:p>
    <w:p w:rsidR="00EC30B1" w:rsidRDefault="00367E59" w:rsidP="00EC30B1">
      <w:r>
        <w:t>If a new mandatory standard is to replace an existing one, also ensure</w:t>
      </w:r>
      <w:r w:rsidR="00097B08">
        <w:t xml:space="preserve"> the relevant documentation to revoke</w:t>
      </w:r>
      <w:r>
        <w:t xml:space="preserve"> the previous legislative instrument is </w:t>
      </w:r>
      <w:r w:rsidR="00097B08">
        <w:t>included</w:t>
      </w:r>
      <w:r w:rsidR="00B9081F">
        <w:t>.</w:t>
      </w:r>
    </w:p>
    <w:p w:rsidR="00EC30B1" w:rsidRDefault="00097B08" w:rsidP="002B76BF">
      <w:pPr>
        <w:pStyle w:val="Heading3"/>
      </w:pPr>
      <w:r>
        <w:t>18</w:t>
      </w:r>
      <w:r w:rsidR="002B76BF">
        <w:t xml:space="preserve">. </w:t>
      </w:r>
      <w:r w:rsidR="00EC30B1">
        <w:t xml:space="preserve">Prepare brief to the Minister on the proposed </w:t>
      </w:r>
      <w:r w:rsidR="002B76BF">
        <w:t>mandatory standard</w:t>
      </w:r>
      <w:r w:rsidR="002E66A0">
        <w:t xml:space="preserve"> </w:t>
      </w:r>
    </w:p>
    <w:p w:rsidR="00D844C4" w:rsidRDefault="002469E4" w:rsidP="00EC30B1">
      <w:r>
        <w:t xml:space="preserve">Prepare </w:t>
      </w:r>
      <w:r w:rsidR="002B76BF">
        <w:t>a brief to the Minister outlining the options to address the hazard and recommend the preferred approach. Also</w:t>
      </w:r>
      <w:r w:rsidR="00EC30B1">
        <w:t xml:space="preserve"> </w:t>
      </w:r>
      <w:r w:rsidR="002B76BF">
        <w:t>i</w:t>
      </w:r>
      <w:r w:rsidR="00EC30B1">
        <w:t>nclude the legislative instrument for signature and explanatory statement for approval.</w:t>
      </w:r>
    </w:p>
    <w:p w:rsidR="00EC30B1" w:rsidRDefault="00097B08" w:rsidP="007E0BF2">
      <w:pPr>
        <w:pStyle w:val="Heading3"/>
      </w:pPr>
      <w:r>
        <w:t xml:space="preserve">19 </w:t>
      </w:r>
      <w:r w:rsidR="00EC30B1">
        <w:t>Apply Minister’s decision</w:t>
      </w:r>
      <w:r w:rsidR="007E0BF2">
        <w:t xml:space="preserve"> regarding mandatory standard proposal</w:t>
      </w:r>
      <w:r w:rsidR="00EC30B1">
        <w:t xml:space="preserve"> </w:t>
      </w:r>
    </w:p>
    <w:p w:rsidR="00EC30B1" w:rsidRDefault="00BB37FF" w:rsidP="00EC30B1">
      <w:r>
        <w:t xml:space="preserve">Act </w:t>
      </w:r>
      <w:r w:rsidR="00EC30B1">
        <w:t>according to Minister’s decision. If the Minister decides to regulate, continue process. If the Minister decides not to regulate, f</w:t>
      </w:r>
      <w:r w:rsidR="00B9081F">
        <w:t>ollow the Minister’s direction.</w:t>
      </w:r>
    </w:p>
    <w:p w:rsidR="00EC30B1" w:rsidRDefault="00097B08" w:rsidP="005C6232">
      <w:pPr>
        <w:pStyle w:val="Heading3"/>
      </w:pPr>
      <w:r>
        <w:t>20</w:t>
      </w:r>
      <w:r w:rsidR="005C6232">
        <w:t xml:space="preserve">. </w:t>
      </w:r>
      <w:r w:rsidR="00EC30B1">
        <w:t>If</w:t>
      </w:r>
      <w:r w:rsidR="005C6232">
        <w:t xml:space="preserve"> the mandatory standard</w:t>
      </w:r>
      <w:r w:rsidR="00EC30B1">
        <w:t xml:space="preserve"> is approved, Minister to write to State and Territory Ministers advising them of that decision</w:t>
      </w:r>
    </w:p>
    <w:p w:rsidR="0067723D" w:rsidRPr="0028561A" w:rsidRDefault="00BB37FF">
      <w:r>
        <w:t xml:space="preserve">The </w:t>
      </w:r>
      <w:r w:rsidR="00EC30B1">
        <w:t>Commonwealth Minister will advise State and Territory Ministers of the decision to make a new mandatory standard in accordance with the COAG ‘Intergovernmental Agreement for the Australian Consumer Law’.</w:t>
      </w:r>
    </w:p>
    <w:p w:rsidR="004415C6" w:rsidRPr="004A1795" w:rsidRDefault="004415C6" w:rsidP="004415C6">
      <w:pPr>
        <w:pStyle w:val="Heading2"/>
      </w:pPr>
      <w:r w:rsidRPr="004A1795">
        <w:t>Stage 3: The mandatory standard becomes law</w:t>
      </w:r>
    </w:p>
    <w:p w:rsidR="004415C6" w:rsidRPr="004A1795" w:rsidRDefault="004415C6" w:rsidP="004415C6">
      <w:pPr>
        <w:pStyle w:val="Heading3"/>
      </w:pPr>
      <w:r w:rsidRPr="004A1795">
        <w:t>21. Register the mandatory standard with the Federal Register of Legislative Instruments</w:t>
      </w:r>
    </w:p>
    <w:p w:rsidR="004415C6" w:rsidRPr="004A1795" w:rsidRDefault="004415C6" w:rsidP="004415C6">
      <w:r w:rsidRPr="004A1795">
        <w:t>Submit signed mandatory standard as a signed legislative instrument with accompanying explanatory statement to Federal Register of Legislative Instruments (FRLI).</w:t>
      </w:r>
    </w:p>
    <w:p w:rsidR="004415C6" w:rsidRPr="004A1795" w:rsidRDefault="004415C6" w:rsidP="004415C6">
      <w:pPr>
        <w:pStyle w:val="Heading2"/>
      </w:pPr>
      <w:r w:rsidRPr="004A1795">
        <w:lastRenderedPageBreak/>
        <w:t>Stage 4: Notify stakeholders</w:t>
      </w:r>
    </w:p>
    <w:p w:rsidR="004415C6" w:rsidRPr="004A1795" w:rsidRDefault="004415C6" w:rsidP="004415C6">
      <w:pPr>
        <w:pStyle w:val="Heading3"/>
      </w:pPr>
      <w:r w:rsidRPr="004A1795">
        <w:t>21. Prepare media release</w:t>
      </w:r>
    </w:p>
    <w:p w:rsidR="004415C6" w:rsidRPr="004A1795" w:rsidRDefault="00D06DC0" w:rsidP="004415C6">
      <w:r>
        <w:t>If</w:t>
      </w:r>
      <w:r w:rsidR="00BD4F04">
        <w:t xml:space="preserve"> required, p</w:t>
      </w:r>
      <w:r w:rsidR="004415C6" w:rsidRPr="004A1795">
        <w:t>repare</w:t>
      </w:r>
      <w:r w:rsidR="00BD4F04">
        <w:t xml:space="preserve"> a</w:t>
      </w:r>
      <w:r w:rsidR="004415C6" w:rsidRPr="004A1795">
        <w:t xml:space="preserve"> media release about the new mandatory standard. The media release may be distributed either by the Commonwealth Minister and/or ACCC.</w:t>
      </w:r>
    </w:p>
    <w:p w:rsidR="004415C6" w:rsidRPr="004A1795" w:rsidRDefault="004415C6" w:rsidP="004415C6">
      <w:pPr>
        <w:pStyle w:val="Heading3"/>
      </w:pPr>
      <w:r w:rsidRPr="004A1795">
        <w:t>22. Inform stakeholders of new regulation</w:t>
      </w:r>
    </w:p>
    <w:p w:rsidR="004415C6" w:rsidRPr="004A1795" w:rsidRDefault="004415C6" w:rsidP="004415C6">
      <w:r w:rsidRPr="004A1795">
        <w:t>Advise stakeholders of the new mandatory standard.  Update the Product Safety Au</w:t>
      </w:r>
      <w:r w:rsidR="00B9081F">
        <w:t xml:space="preserve">stralia website. </w:t>
      </w:r>
    </w:p>
    <w:p w:rsidR="004415C6" w:rsidRPr="004A1795" w:rsidRDefault="004415C6" w:rsidP="004415C6">
      <w:pPr>
        <w:pStyle w:val="Heading3"/>
      </w:pPr>
      <w:r w:rsidRPr="004A1795">
        <w:t>23. Implement education and awareness program</w:t>
      </w:r>
    </w:p>
    <w:p w:rsidR="004415C6" w:rsidRPr="004A1795" w:rsidRDefault="004415C6" w:rsidP="004415C6">
      <w:r w:rsidRPr="004A1795">
        <w:t>If required, prepare and introduce an education/awareness program about the good/service and the new mandatory standard</w:t>
      </w:r>
      <w:r w:rsidR="00B9081F">
        <w:t>.</w:t>
      </w:r>
      <w:r w:rsidR="00BD4F04">
        <w:t xml:space="preserve"> This may </w:t>
      </w:r>
      <w:r w:rsidR="00DA1AAA">
        <w:t>include</w:t>
      </w:r>
      <w:r w:rsidR="00BD4F04">
        <w:t xml:space="preserve"> </w:t>
      </w:r>
      <w:r w:rsidR="00DA1AAA">
        <w:t>developing a</w:t>
      </w:r>
      <w:r w:rsidR="00BD4F04">
        <w:t xml:space="preserve"> supplier guide.</w:t>
      </w:r>
    </w:p>
    <w:p w:rsidR="004415C6" w:rsidRPr="00724860" w:rsidRDefault="004415C6">
      <w:pPr>
        <w:rPr>
          <w:rFonts w:eastAsia="Times New Roman"/>
          <w:b/>
          <w:bCs/>
          <w:color w:val="51626F"/>
          <w:sz w:val="28"/>
          <w:szCs w:val="26"/>
        </w:rPr>
      </w:pPr>
      <w:r w:rsidRPr="004A1795">
        <w:br w:type="page"/>
      </w:r>
    </w:p>
    <w:p w:rsidR="004415C6" w:rsidRPr="004A1795" w:rsidRDefault="004415C6" w:rsidP="004415C6">
      <w:pPr>
        <w:pStyle w:val="Heading1"/>
      </w:pPr>
      <w:r w:rsidRPr="004A1795">
        <w:t>Step by step guide to develop a ban (interim or permanent)</w:t>
      </w:r>
    </w:p>
    <w:p w:rsidR="004415C6" w:rsidRPr="004A1795" w:rsidRDefault="004415C6" w:rsidP="004415C6">
      <w:pPr>
        <w:pStyle w:val="Heading2"/>
      </w:pPr>
      <w:r w:rsidRPr="004A1795">
        <w:t>Stage 1:  Prepare, research and conduct preliminary consultation</w:t>
      </w:r>
    </w:p>
    <w:p w:rsidR="004415C6" w:rsidRPr="004A1795" w:rsidRDefault="004415C6" w:rsidP="004415C6">
      <w:pPr>
        <w:pStyle w:val="Heading3"/>
      </w:pPr>
      <w:r w:rsidRPr="004A1795">
        <w:t>1. Conduct preliminary research</w:t>
      </w:r>
    </w:p>
    <w:p w:rsidR="004415C6" w:rsidRPr="004A1795" w:rsidRDefault="004415C6" w:rsidP="004415C6">
      <w:r w:rsidRPr="004A1795">
        <w:t xml:space="preserve">Gain an understanding of the relevant consumer goods/services, any associated hazards and any applicable standards/regulation in Australia or overseas. This includes any relevant state/territory interim bans in force. </w:t>
      </w:r>
    </w:p>
    <w:p w:rsidR="004415C6" w:rsidRPr="004A1795" w:rsidRDefault="004415C6" w:rsidP="004415C6">
      <w:pPr>
        <w:pStyle w:val="Heading3"/>
      </w:pPr>
      <w:r w:rsidRPr="004A1795">
        <w:t>2. Undertake market research</w:t>
      </w:r>
    </w:p>
    <w:p w:rsidR="004415C6" w:rsidRPr="004A1795" w:rsidRDefault="004415C6" w:rsidP="004415C6">
      <w:r w:rsidRPr="004A1795">
        <w:t>Identify the Australian market participants, sales figures, product range, and degree of compliance with any voluntary standard and develop a list of stakeholders.</w:t>
      </w:r>
    </w:p>
    <w:p w:rsidR="004415C6" w:rsidRPr="004A1795" w:rsidRDefault="004415C6" w:rsidP="004415C6">
      <w:pPr>
        <w:pStyle w:val="Heading3"/>
      </w:pPr>
      <w:r w:rsidRPr="004A1795">
        <w:t>3. Review existing regulatory arrangements</w:t>
      </w:r>
    </w:p>
    <w:p w:rsidR="004415C6" w:rsidRPr="004A1795" w:rsidRDefault="004415C6" w:rsidP="004415C6">
      <w:r w:rsidRPr="004A1795">
        <w:t>Develop a comprehensive understanding of any regulation or quasi-regulation of the goods/services in Australia or overseas</w:t>
      </w:r>
      <w:r w:rsidR="00B9081F">
        <w:t>.</w:t>
      </w:r>
      <w:r w:rsidRPr="004A1795">
        <w:t xml:space="preserve"> </w:t>
      </w:r>
    </w:p>
    <w:p w:rsidR="004415C6" w:rsidRPr="004A1795" w:rsidRDefault="004415C6" w:rsidP="004415C6">
      <w:pPr>
        <w:pStyle w:val="Heading3"/>
      </w:pPr>
      <w:r w:rsidRPr="004A1795">
        <w:t>4. Evaluate the effectiveness of any current voluntary standard (Australian, ISO, etc) (if applicable)</w:t>
      </w:r>
    </w:p>
    <w:p w:rsidR="004415C6" w:rsidRPr="004A1795" w:rsidRDefault="004415C6" w:rsidP="004415C6">
      <w:r w:rsidRPr="004A1795">
        <w:t>Develop a comprehensive understanding of the voluntary sta</w:t>
      </w:r>
      <w:r w:rsidR="00B9081F">
        <w:t>ndard’s scope and test methods.</w:t>
      </w:r>
    </w:p>
    <w:p w:rsidR="004415C6" w:rsidRPr="004A1795" w:rsidRDefault="004415C6" w:rsidP="004415C6">
      <w:pPr>
        <w:pStyle w:val="Heading3"/>
      </w:pPr>
      <w:r w:rsidRPr="004A1795">
        <w:t>5. Test goods/services (if appropriate)</w:t>
      </w:r>
    </w:p>
    <w:p w:rsidR="004415C6" w:rsidRPr="004A1795" w:rsidRDefault="004415C6" w:rsidP="004415C6">
      <w:r w:rsidRPr="004A1795">
        <w:t>Purchase an appropriate range/sample of products and arrange any necessary testing to gauge the extent of any hazard.</w:t>
      </w:r>
    </w:p>
    <w:p w:rsidR="004415C6" w:rsidRPr="004A1795" w:rsidRDefault="004415C6" w:rsidP="004415C6">
      <w:pPr>
        <w:pStyle w:val="Heading3"/>
      </w:pPr>
      <w:r w:rsidRPr="004A1795">
        <w:t>6. Determine if there is an imminent risk of death, serious illness or injury from the consumer good</w:t>
      </w:r>
    </w:p>
    <w:p w:rsidR="004415C6" w:rsidRPr="004A1795" w:rsidRDefault="004415C6" w:rsidP="004415C6">
      <w:r w:rsidRPr="004A1795">
        <w:t xml:space="preserve">If there is an imminent risk of death, serious illness or injury, </w:t>
      </w:r>
      <w:r w:rsidR="00C31AE3">
        <w:t>consider recommending</w:t>
      </w:r>
      <w:r w:rsidR="005431A8">
        <w:t xml:space="preserve"> to the Minister </w:t>
      </w:r>
      <w:r w:rsidR="00C31AE3">
        <w:t xml:space="preserve">that </w:t>
      </w:r>
      <w:r w:rsidRPr="004A1795">
        <w:t>an urgent interim ban be imposed without delay</w:t>
      </w:r>
      <w:r w:rsidR="00C31AE3">
        <w:t xml:space="preserve"> under s132J of Part XI of the </w:t>
      </w:r>
      <w:r w:rsidR="00C31AE3" w:rsidRPr="003F279A">
        <w:rPr>
          <w:i/>
        </w:rPr>
        <w:t>Competition and Consumer Act 2010</w:t>
      </w:r>
      <w:r w:rsidRPr="004A1795">
        <w:t>.</w:t>
      </w:r>
    </w:p>
    <w:p w:rsidR="004415C6" w:rsidRPr="004A1795" w:rsidRDefault="004415C6" w:rsidP="004415C6">
      <w:r w:rsidRPr="004A1795">
        <w:t>If an imminent risk does not exist, consider whether other regulatory action is appropriate, such as a mandatory standard, non-urgent interim ban or permanent ban.</w:t>
      </w:r>
    </w:p>
    <w:p w:rsidR="004415C6" w:rsidRPr="004A1795" w:rsidRDefault="004415C6" w:rsidP="004415C6">
      <w:pPr>
        <w:pStyle w:val="Heading3"/>
      </w:pPr>
      <w:r w:rsidRPr="004A1795">
        <w:t>7. Obtain and analyse injury data</w:t>
      </w:r>
    </w:p>
    <w:p w:rsidR="004415C6" w:rsidRPr="004A1795" w:rsidRDefault="004415C6" w:rsidP="004415C6">
      <w:r w:rsidRPr="004A1795">
        <w:t>Research available sources of injury data or incident information relevant to the goods/services. These can include the ACCC Clearinghouse, ACCC Infocentre data/reports, recalls, available overseas data, university injury surveillance units, National Coroners’ Information Service records, Choice Magazine reports.</w:t>
      </w:r>
    </w:p>
    <w:p w:rsidR="004415C6" w:rsidRPr="004A1795" w:rsidRDefault="004415C6" w:rsidP="00B9081F">
      <w:pPr>
        <w:pStyle w:val="Heading3"/>
      </w:pPr>
      <w:r w:rsidRPr="004A1795">
        <w:t>8. If appropriate, advise the Commonwealth Minister that the safety of particular consumer goods</w:t>
      </w:r>
      <w:r w:rsidR="00C31AE3">
        <w:t xml:space="preserve"> or product related services are</w:t>
      </w:r>
      <w:r w:rsidRPr="004A1795">
        <w:t xml:space="preserve"> under investigation </w:t>
      </w:r>
      <w:r w:rsidRPr="004A1795">
        <w:lastRenderedPageBreak/>
        <w:t xml:space="preserve">and </w:t>
      </w:r>
      <w:r w:rsidR="005431A8">
        <w:t>either an interim ban</w:t>
      </w:r>
      <w:r w:rsidR="003F279A">
        <w:t xml:space="preserve"> without delay</w:t>
      </w:r>
      <w:r w:rsidR="005431A8">
        <w:t xml:space="preserve"> or interim ban/permanent ban is being considered.</w:t>
      </w:r>
    </w:p>
    <w:p w:rsidR="004415C6" w:rsidRPr="004A1795" w:rsidRDefault="004415C6" w:rsidP="004415C6">
      <w:r w:rsidRPr="004A1795">
        <w:t>Also consult with</w:t>
      </w:r>
      <w:r w:rsidR="005431A8">
        <w:t xml:space="preserve"> state</w:t>
      </w:r>
      <w:r w:rsidR="0036217F">
        <w:t>s</w:t>
      </w:r>
      <w:r w:rsidR="005431A8">
        <w:t xml:space="preserve"> and </w:t>
      </w:r>
      <w:r w:rsidR="0036217F">
        <w:t xml:space="preserve">territories’ </w:t>
      </w:r>
      <w:r w:rsidR="005431A8">
        <w:t xml:space="preserve">consumer protection agencies </w:t>
      </w:r>
      <w:r w:rsidRPr="004A1795">
        <w:t>if relevant.</w:t>
      </w:r>
    </w:p>
    <w:p w:rsidR="00BB37FF" w:rsidRPr="004A1795" w:rsidRDefault="00BB37FF" w:rsidP="00BB37FF">
      <w:pPr>
        <w:pStyle w:val="Heading2"/>
      </w:pPr>
      <w:r w:rsidRPr="004A1795">
        <w:t>Stage 2: Consider the case for regulation to address the hazard and draft relevant documentation</w:t>
      </w:r>
      <w:r w:rsidR="003F279A">
        <w:t xml:space="preserve"> for </w:t>
      </w:r>
      <w:r w:rsidRPr="004A1795">
        <w:t xml:space="preserve">bans (interim or permanent) </w:t>
      </w:r>
    </w:p>
    <w:p w:rsidR="006509D3" w:rsidRDefault="006509D3" w:rsidP="0081663D">
      <w:pPr>
        <w:pStyle w:val="Heading3"/>
        <w:rPr>
          <w:i/>
        </w:rPr>
      </w:pPr>
      <w:r>
        <w:t>9. Follow the relevant process</w:t>
      </w:r>
      <w:r w:rsidR="003F279A">
        <w:t>es set out</w:t>
      </w:r>
      <w:r>
        <w:t xml:space="preserve"> in subdivision</w:t>
      </w:r>
      <w:r w:rsidR="003D2F43">
        <w:t>s</w:t>
      </w:r>
      <w:r>
        <w:t xml:space="preserve"> A-D in </w:t>
      </w:r>
      <w:r w:rsidRPr="003F279A">
        <w:rPr>
          <w:i/>
        </w:rPr>
        <w:t>Part XI of the Competition and Consumer Act 2010</w:t>
      </w:r>
      <w:r w:rsidR="00270909">
        <w:rPr>
          <w:i/>
        </w:rPr>
        <w:t xml:space="preserve"> regarding bans</w:t>
      </w:r>
    </w:p>
    <w:p w:rsidR="006509D3" w:rsidRDefault="003D2F43" w:rsidP="003F279A">
      <w:r>
        <w:t>These include:</w:t>
      </w:r>
    </w:p>
    <w:p w:rsidR="003D2F43" w:rsidRDefault="008B3A6E" w:rsidP="003F279A">
      <w:pPr>
        <w:pStyle w:val="ListBullet"/>
      </w:pPr>
      <w:r>
        <w:t>Conference requirements before a ban</w:t>
      </w:r>
      <w:r w:rsidR="00270909">
        <w:t xml:space="preserve"> (permanent or interim ban)</w:t>
      </w:r>
      <w:r>
        <w:t xml:space="preserve"> is imposed (Subdivision A)</w:t>
      </w:r>
    </w:p>
    <w:p w:rsidR="008B3A6E" w:rsidRDefault="008B3A6E" w:rsidP="003F279A">
      <w:pPr>
        <w:pStyle w:val="ListBullet"/>
      </w:pPr>
      <w:r>
        <w:t>Conference requirements after an interim ban</w:t>
      </w:r>
      <w:r w:rsidR="00270909">
        <w:t xml:space="preserve"> without delay</w:t>
      </w:r>
      <w:r>
        <w:t xml:space="preserve"> is imposed (Subdivision B)</w:t>
      </w:r>
    </w:p>
    <w:p w:rsidR="008B3A6E" w:rsidRDefault="008B3A6E" w:rsidP="003F279A">
      <w:pPr>
        <w:pStyle w:val="ListBullet"/>
      </w:pPr>
      <w:r>
        <w:t>Conduct of conferences (Subdivision C)</w:t>
      </w:r>
    </w:p>
    <w:p w:rsidR="008B3A6E" w:rsidRPr="006509D3" w:rsidRDefault="003F279A" w:rsidP="003F279A">
      <w:pPr>
        <w:pStyle w:val="ListBullet"/>
      </w:pPr>
      <w:r>
        <w:t>Miscellaneous provisions relating to an i</w:t>
      </w:r>
      <w:r w:rsidR="00270909">
        <w:t>nterim ban without delay</w:t>
      </w:r>
      <w:r>
        <w:t xml:space="preserve"> (Subdivision D).</w:t>
      </w:r>
      <w:r w:rsidR="00270909">
        <w:t xml:space="preserve"> </w:t>
      </w:r>
    </w:p>
    <w:p w:rsidR="00E90EC1" w:rsidRPr="00E90EC1" w:rsidRDefault="00E90EC1" w:rsidP="00E90EC1">
      <w:pPr>
        <w:pStyle w:val="Heading2"/>
      </w:pPr>
      <w:r>
        <w:t xml:space="preserve">Stage 3: The </w:t>
      </w:r>
      <w:r w:rsidR="0067723D">
        <w:t>ban</w:t>
      </w:r>
      <w:r>
        <w:t xml:space="preserve"> becomes law</w:t>
      </w:r>
    </w:p>
    <w:p w:rsidR="00EC30B1" w:rsidRDefault="003F279A" w:rsidP="00E90EC1">
      <w:pPr>
        <w:pStyle w:val="Heading3"/>
      </w:pPr>
      <w:r>
        <w:t>10</w:t>
      </w:r>
      <w:r w:rsidR="00E90EC1">
        <w:t xml:space="preserve">. </w:t>
      </w:r>
      <w:r w:rsidR="00EC30B1">
        <w:t>Register the</w:t>
      </w:r>
      <w:r w:rsidR="000058E4">
        <w:t xml:space="preserve"> </w:t>
      </w:r>
      <w:r w:rsidR="005431A8">
        <w:t>ban</w:t>
      </w:r>
      <w:r w:rsidR="000058E4">
        <w:t xml:space="preserve"> with</w:t>
      </w:r>
      <w:r w:rsidR="00EC30B1">
        <w:t xml:space="preserve"> the Federal Register of Legislative Instruments</w:t>
      </w:r>
    </w:p>
    <w:p w:rsidR="00EC30B1" w:rsidRDefault="00EC30B1" w:rsidP="00EC30B1">
      <w:r>
        <w:t xml:space="preserve">Submit signed </w:t>
      </w:r>
      <w:r w:rsidR="000058E4">
        <w:t>mandatory standard</w:t>
      </w:r>
      <w:r w:rsidR="00E90EC1">
        <w:t>/permanent ban as a signed legislative instrument</w:t>
      </w:r>
      <w:r w:rsidR="000058E4">
        <w:t xml:space="preserve"> </w:t>
      </w:r>
      <w:r w:rsidR="00E90EC1">
        <w:t>with</w:t>
      </w:r>
      <w:r w:rsidR="000058E4">
        <w:t xml:space="preserve"> </w:t>
      </w:r>
      <w:r w:rsidR="00E90EC1">
        <w:t xml:space="preserve">accompanying </w:t>
      </w:r>
      <w:r w:rsidR="000058E4">
        <w:t>explanatory statement to</w:t>
      </w:r>
      <w:r>
        <w:t xml:space="preserve"> Federal Register of</w:t>
      </w:r>
      <w:r w:rsidR="000058E4">
        <w:t xml:space="preserve"> Legislative Instruments (FRLI).</w:t>
      </w:r>
    </w:p>
    <w:p w:rsidR="00EC30B1" w:rsidRDefault="00EC30B1" w:rsidP="00E90EC1">
      <w:pPr>
        <w:pStyle w:val="Heading2"/>
      </w:pPr>
      <w:r>
        <w:t>Stage 4: Notify stakeholders</w:t>
      </w:r>
    </w:p>
    <w:p w:rsidR="00EC30B1" w:rsidRDefault="003F279A" w:rsidP="003D3CAB">
      <w:pPr>
        <w:pStyle w:val="Heading3"/>
      </w:pPr>
      <w:r>
        <w:t>11</w:t>
      </w:r>
      <w:r w:rsidR="00EC30B1">
        <w:t>.</w:t>
      </w:r>
      <w:r w:rsidR="002B6C28">
        <w:t xml:space="preserve"> </w:t>
      </w:r>
      <w:r w:rsidR="00A152DB">
        <w:t>Prepare m</w:t>
      </w:r>
      <w:r w:rsidR="00EC30B1">
        <w:t>edia release</w:t>
      </w:r>
    </w:p>
    <w:p w:rsidR="00EC30B1" w:rsidRDefault="00EC30B1" w:rsidP="00EC30B1">
      <w:r>
        <w:t xml:space="preserve">Prepare media release about the new </w:t>
      </w:r>
      <w:r w:rsidR="003D3CAB">
        <w:t>ban</w:t>
      </w:r>
      <w:r>
        <w:t xml:space="preserve">. The media release may be </w:t>
      </w:r>
      <w:r w:rsidR="003D3CAB">
        <w:t>distributed either by the</w:t>
      </w:r>
      <w:r>
        <w:t xml:space="preserve"> Commonwealth Minister and/or ACCC.</w:t>
      </w:r>
    </w:p>
    <w:p w:rsidR="00EC30B1" w:rsidRDefault="003F279A" w:rsidP="003D3CAB">
      <w:pPr>
        <w:pStyle w:val="Heading3"/>
      </w:pPr>
      <w:r>
        <w:t>12</w:t>
      </w:r>
      <w:r w:rsidR="00EC30B1">
        <w:t>.</w:t>
      </w:r>
      <w:r w:rsidR="002B6C28">
        <w:t xml:space="preserve"> </w:t>
      </w:r>
      <w:r w:rsidR="00A152DB">
        <w:t>Inform stakeholders of new regulation</w:t>
      </w:r>
    </w:p>
    <w:p w:rsidR="00EC30B1" w:rsidRDefault="00EC30B1" w:rsidP="00EC30B1">
      <w:r>
        <w:t xml:space="preserve">Advise stakeholders of the new </w:t>
      </w:r>
      <w:r w:rsidR="003D3CAB">
        <w:t>ban</w:t>
      </w:r>
      <w:r>
        <w:t xml:space="preserve">.  Update the Product Safety Australia website.  </w:t>
      </w:r>
    </w:p>
    <w:p w:rsidR="00EC30B1" w:rsidRDefault="003F279A" w:rsidP="003D3CAB">
      <w:pPr>
        <w:pStyle w:val="Heading3"/>
      </w:pPr>
      <w:r>
        <w:t>13</w:t>
      </w:r>
      <w:r w:rsidR="00EC30B1">
        <w:t>.</w:t>
      </w:r>
      <w:r w:rsidR="002B6C28">
        <w:t xml:space="preserve"> </w:t>
      </w:r>
      <w:r w:rsidR="00A152DB">
        <w:t>Implement e</w:t>
      </w:r>
      <w:r w:rsidR="00EC30B1">
        <w:t>ducation and awareness program</w:t>
      </w:r>
    </w:p>
    <w:p w:rsidR="00EC30B1" w:rsidRDefault="00EC30B1" w:rsidP="00EC30B1">
      <w:r>
        <w:t xml:space="preserve">If required, prepare and introduce an education/awareness program about the good/service and the </w:t>
      </w:r>
      <w:r w:rsidR="003D3CAB">
        <w:t>ban</w:t>
      </w:r>
      <w:r>
        <w:t>.</w:t>
      </w:r>
      <w:r w:rsidR="00270909">
        <w:t xml:space="preserve"> This may include </w:t>
      </w:r>
      <w:r w:rsidR="00DA1AAA">
        <w:t>developing</w:t>
      </w:r>
      <w:r w:rsidR="00270909">
        <w:t xml:space="preserve"> a supplier guide.</w:t>
      </w:r>
    </w:p>
    <w:p w:rsidR="00820DB6" w:rsidRDefault="00820DB6" w:rsidP="00820DB6">
      <w:pPr>
        <w:pStyle w:val="Heading1"/>
      </w:pPr>
      <w:r>
        <w:t xml:space="preserve">Further information about </w:t>
      </w:r>
      <w:r w:rsidR="0036217F">
        <w:t>consumer p</w:t>
      </w:r>
      <w:r>
        <w:t xml:space="preserve">roduct </w:t>
      </w:r>
      <w:r w:rsidR="0036217F">
        <w:t>s</w:t>
      </w:r>
      <w:r>
        <w:t>afety</w:t>
      </w:r>
    </w:p>
    <w:p w:rsidR="009D6B46" w:rsidRPr="009D6B46" w:rsidRDefault="00820DB6" w:rsidP="009D6B46">
      <w:r>
        <w:t xml:space="preserve">Further information about </w:t>
      </w:r>
      <w:r w:rsidR="0036217F">
        <w:t xml:space="preserve">consumer </w:t>
      </w:r>
      <w:r>
        <w:t>product safety regulation in Australia is available from the Product Safety Australia website—</w:t>
      </w:r>
      <w:r w:rsidRPr="00056EC7">
        <w:rPr>
          <w:rStyle w:val="Hyperlink"/>
        </w:rPr>
        <w:t>www.product safety.gov.au</w:t>
      </w:r>
      <w:r>
        <w:t xml:space="preserve">—or contacting the ACCC Infocentre on 1300 302 502. </w:t>
      </w:r>
    </w:p>
    <w:sectPr w:rsidR="009D6B46" w:rsidRPr="009D6B46" w:rsidSect="00174102"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41B" w:rsidRDefault="0012041B" w:rsidP="004B4412">
      <w:pPr>
        <w:spacing w:before="0"/>
      </w:pPr>
      <w:r>
        <w:separator/>
      </w:r>
    </w:p>
  </w:endnote>
  <w:endnote w:type="continuationSeparator" w:id="0">
    <w:p w:rsidR="0012041B" w:rsidRDefault="0012041B" w:rsidP="004B44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6B4" w:rsidRDefault="00C966B4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010D1B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010D1B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</w:p>
  <w:p w:rsidR="00C966B4" w:rsidRDefault="00C966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41B" w:rsidRDefault="0012041B" w:rsidP="004B4412">
      <w:pPr>
        <w:spacing w:before="0"/>
      </w:pPr>
      <w:r>
        <w:separator/>
      </w:r>
    </w:p>
  </w:footnote>
  <w:footnote w:type="continuationSeparator" w:id="0">
    <w:p w:rsidR="0012041B" w:rsidRDefault="0012041B" w:rsidP="004B4412">
      <w:pPr>
        <w:spacing w:before="0"/>
      </w:pPr>
      <w:r>
        <w:continuationSeparator/>
      </w:r>
    </w:p>
  </w:footnote>
  <w:footnote w:id="1">
    <w:p w:rsidR="00D51BCE" w:rsidRDefault="00D51BCE">
      <w:pPr>
        <w:pStyle w:val="FootnoteText"/>
      </w:pPr>
      <w:r>
        <w:rPr>
          <w:rStyle w:val="FootnoteReference"/>
        </w:rPr>
        <w:footnoteRef/>
      </w:r>
      <w:r>
        <w:t xml:space="preserve"> ‘Consumer goods’ and ‘product related services’ are defined in section 2 of the Australian Consumer Law.</w:t>
      </w:r>
    </w:p>
  </w:footnote>
  <w:footnote w:id="2">
    <w:p w:rsidR="0067172E" w:rsidRDefault="0067172E">
      <w:pPr>
        <w:pStyle w:val="FootnoteText"/>
      </w:pPr>
      <w:r>
        <w:rPr>
          <w:rStyle w:val="FootnoteReference"/>
        </w:rPr>
        <w:footnoteRef/>
      </w:r>
      <w:r>
        <w:t xml:space="preserve"> ‘Goods’ and ‘services’ are defined in section 2 of the Australian Consumer Law.</w:t>
      </w:r>
    </w:p>
  </w:footnote>
  <w:footnote w:id="3">
    <w:p w:rsidR="005A4B3F" w:rsidRDefault="005A4B3F" w:rsidP="00D06DC0">
      <w:pPr>
        <w:pStyle w:val="FootnoteText"/>
        <w:ind w:left="709" w:hanging="709"/>
      </w:pPr>
      <w:r>
        <w:rPr>
          <w:rStyle w:val="FootnoteReference"/>
        </w:rPr>
        <w:footnoteRef/>
      </w:r>
      <w:r>
        <w:t xml:space="preserve"> A ‘responsible Minister’ is defined in section 2 of the Australian Consumer Law and </w:t>
      </w:r>
      <w:r w:rsidR="009156D6">
        <w:t>includes the Commonwealth Minister</w:t>
      </w:r>
      <w:r w:rsidR="00D06DC0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0E8D0B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56075B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CCD3A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F741816"/>
    <w:lvl w:ilvl="0">
      <w:start w:val="1"/>
      <w:numFmt w:val="lowerLetter"/>
      <w:pStyle w:val="ListNumber2"/>
      <w:lvlText w:val="%1)"/>
      <w:lvlJc w:val="left"/>
      <w:pPr>
        <w:ind w:left="360" w:hanging="360"/>
      </w:pPr>
    </w:lvl>
  </w:abstractNum>
  <w:abstractNum w:abstractNumId="4">
    <w:nsid w:val="FFFFFF80"/>
    <w:multiLevelType w:val="singleLevel"/>
    <w:tmpl w:val="E38619F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BE8B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46A7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26273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C004CC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28238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E80CB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8641ED1"/>
    <w:multiLevelType w:val="hybridMultilevel"/>
    <w:tmpl w:val="8520B998"/>
    <w:lvl w:ilvl="0" w:tplc="92E4D2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DD2542B"/>
    <w:multiLevelType w:val="hybridMultilevel"/>
    <w:tmpl w:val="60FAC388"/>
    <w:lvl w:ilvl="0" w:tplc="50264BE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FC3577"/>
    <w:multiLevelType w:val="multilevel"/>
    <w:tmpl w:val="8AE4E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33E73B6"/>
    <w:multiLevelType w:val="hybridMultilevel"/>
    <w:tmpl w:val="80220B84"/>
    <w:lvl w:ilvl="0" w:tplc="F5987420">
      <w:start w:val="1"/>
      <w:numFmt w:val="decimal"/>
      <w:pStyle w:val="Numberedlist"/>
      <w:lvlText w:val="%1."/>
      <w:lvlJc w:val="left"/>
      <w:pPr>
        <w:ind w:left="360" w:hanging="360"/>
      </w:pPr>
      <w:rPr>
        <w:rFonts w:hint="default"/>
      </w:rPr>
    </w:lvl>
    <w:lvl w:ilvl="1" w:tplc="A5728FD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6B8266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067E3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8444D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7DE7D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D0AFFE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63EE25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DD24F6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143A16BA"/>
    <w:multiLevelType w:val="hybridMultilevel"/>
    <w:tmpl w:val="B4582D26"/>
    <w:lvl w:ilvl="0" w:tplc="7270CC96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B737F8"/>
    <w:multiLevelType w:val="multilevel"/>
    <w:tmpl w:val="6FB04AB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CF519CE"/>
    <w:multiLevelType w:val="multilevel"/>
    <w:tmpl w:val="3AD8CB48"/>
    <w:lvl w:ilvl="0">
      <w:start w:val="1"/>
      <w:numFmt w:val="decimal"/>
      <w:pStyle w:val="Numbered1"/>
      <w:lvlText w:val="%1."/>
      <w:lvlJc w:val="left"/>
      <w:pPr>
        <w:ind w:left="360" w:hanging="360"/>
      </w:pPr>
    </w:lvl>
    <w:lvl w:ilvl="1">
      <w:start w:val="1"/>
      <w:numFmt w:val="decimal"/>
      <w:pStyle w:val="Numbered11"/>
      <w:lvlText w:val="%1.%2."/>
      <w:lvlJc w:val="left"/>
      <w:pPr>
        <w:ind w:left="792" w:hanging="432"/>
      </w:pPr>
    </w:lvl>
    <w:lvl w:ilvl="2">
      <w:start w:val="1"/>
      <w:numFmt w:val="decimal"/>
      <w:pStyle w:val="Numbered111"/>
      <w:lvlText w:val="%1.%2.%3."/>
      <w:lvlJc w:val="left"/>
      <w:pPr>
        <w:ind w:left="1224" w:hanging="504"/>
      </w:pPr>
    </w:lvl>
    <w:lvl w:ilvl="3">
      <w:start w:val="1"/>
      <w:numFmt w:val="decimal"/>
      <w:pStyle w:val="Numbered1111"/>
      <w:lvlText w:val="%1.%2.%3.%4."/>
      <w:lvlJc w:val="left"/>
      <w:pPr>
        <w:ind w:left="1728" w:hanging="648"/>
      </w:pPr>
    </w:lvl>
    <w:lvl w:ilvl="4">
      <w:start w:val="1"/>
      <w:numFmt w:val="decimal"/>
      <w:pStyle w:val="Numbered11111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111111"/>
      <w:lvlText w:val="%1.%2.%3.%4.%5.%6."/>
      <w:lvlJc w:val="left"/>
      <w:pPr>
        <w:ind w:left="2736" w:hanging="936"/>
      </w:pPr>
    </w:lvl>
    <w:lvl w:ilvl="6">
      <w:start w:val="1"/>
      <w:numFmt w:val="decimal"/>
      <w:pStyle w:val="Numbered1111111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umbered11111111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umbered111111111"/>
      <w:lvlText w:val="%1.%2.%3.%4.%5.%6.%7.%8.%9."/>
      <w:lvlJc w:val="left"/>
      <w:pPr>
        <w:ind w:left="4320" w:hanging="1440"/>
      </w:pPr>
    </w:lvl>
  </w:abstractNum>
  <w:abstractNum w:abstractNumId="18">
    <w:nsid w:val="20DC4589"/>
    <w:multiLevelType w:val="hybridMultilevel"/>
    <w:tmpl w:val="CE309D86"/>
    <w:lvl w:ilvl="0" w:tplc="272AF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C813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8AAD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C6A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B25F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C2DF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C3E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DE8D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986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8563B5"/>
    <w:multiLevelType w:val="multilevel"/>
    <w:tmpl w:val="7DF81E3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6BA56A2"/>
    <w:multiLevelType w:val="hybridMultilevel"/>
    <w:tmpl w:val="94AAD8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E259F"/>
    <w:multiLevelType w:val="hybridMultilevel"/>
    <w:tmpl w:val="DF0C57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23347D"/>
    <w:multiLevelType w:val="hybridMultilevel"/>
    <w:tmpl w:val="D45C48E2"/>
    <w:lvl w:ilvl="0" w:tplc="D66A53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18074A"/>
    <w:multiLevelType w:val="hybridMultilevel"/>
    <w:tmpl w:val="C8E20904"/>
    <w:lvl w:ilvl="0" w:tplc="0C090001">
      <w:start w:val="1"/>
      <w:numFmt w:val="decimal"/>
      <w:lvlText w:val="%1."/>
      <w:lvlJc w:val="left"/>
      <w:pPr>
        <w:ind w:left="360" w:hanging="360"/>
      </w:pPr>
    </w:lvl>
    <w:lvl w:ilvl="1" w:tplc="0C090003" w:tentative="1">
      <w:start w:val="1"/>
      <w:numFmt w:val="lowerLetter"/>
      <w:lvlText w:val="%2."/>
      <w:lvlJc w:val="left"/>
      <w:pPr>
        <w:ind w:left="1080" w:hanging="360"/>
      </w:pPr>
    </w:lvl>
    <w:lvl w:ilvl="2" w:tplc="0C090005" w:tentative="1">
      <w:start w:val="1"/>
      <w:numFmt w:val="lowerRoman"/>
      <w:lvlText w:val="%3."/>
      <w:lvlJc w:val="right"/>
      <w:pPr>
        <w:ind w:left="1800" w:hanging="180"/>
      </w:pPr>
    </w:lvl>
    <w:lvl w:ilvl="3" w:tplc="0C090001" w:tentative="1">
      <w:start w:val="1"/>
      <w:numFmt w:val="decimal"/>
      <w:lvlText w:val="%4."/>
      <w:lvlJc w:val="left"/>
      <w:pPr>
        <w:ind w:left="2520" w:hanging="360"/>
      </w:pPr>
    </w:lvl>
    <w:lvl w:ilvl="4" w:tplc="0C090003" w:tentative="1">
      <w:start w:val="1"/>
      <w:numFmt w:val="lowerLetter"/>
      <w:lvlText w:val="%5."/>
      <w:lvlJc w:val="left"/>
      <w:pPr>
        <w:ind w:left="3240" w:hanging="360"/>
      </w:pPr>
    </w:lvl>
    <w:lvl w:ilvl="5" w:tplc="0C090005" w:tentative="1">
      <w:start w:val="1"/>
      <w:numFmt w:val="lowerRoman"/>
      <w:lvlText w:val="%6."/>
      <w:lvlJc w:val="right"/>
      <w:pPr>
        <w:ind w:left="3960" w:hanging="180"/>
      </w:pPr>
    </w:lvl>
    <w:lvl w:ilvl="6" w:tplc="0C090001" w:tentative="1">
      <w:start w:val="1"/>
      <w:numFmt w:val="decimal"/>
      <w:lvlText w:val="%7."/>
      <w:lvlJc w:val="left"/>
      <w:pPr>
        <w:ind w:left="4680" w:hanging="360"/>
      </w:pPr>
    </w:lvl>
    <w:lvl w:ilvl="7" w:tplc="0C090003" w:tentative="1">
      <w:start w:val="1"/>
      <w:numFmt w:val="lowerLetter"/>
      <w:lvlText w:val="%8."/>
      <w:lvlJc w:val="left"/>
      <w:pPr>
        <w:ind w:left="5400" w:hanging="360"/>
      </w:pPr>
    </w:lvl>
    <w:lvl w:ilvl="8" w:tplc="0C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29046A0"/>
    <w:multiLevelType w:val="multilevel"/>
    <w:tmpl w:val="9A30B4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4065F76"/>
    <w:multiLevelType w:val="hybridMultilevel"/>
    <w:tmpl w:val="68D2BB3C"/>
    <w:lvl w:ilvl="0" w:tplc="A5BC9C30">
      <w:start w:val="1"/>
      <w:numFmt w:val="lowerLetter"/>
      <w:lvlText w:val="%1)"/>
      <w:lvlJc w:val="left"/>
      <w:pPr>
        <w:ind w:left="1003" w:hanging="360"/>
      </w:pPr>
    </w:lvl>
    <w:lvl w:ilvl="1" w:tplc="394A4642" w:tentative="1">
      <w:start w:val="1"/>
      <w:numFmt w:val="lowerLetter"/>
      <w:lvlText w:val="%2."/>
      <w:lvlJc w:val="left"/>
      <w:pPr>
        <w:ind w:left="1723" w:hanging="360"/>
      </w:pPr>
    </w:lvl>
    <w:lvl w:ilvl="2" w:tplc="DA3E1F4A" w:tentative="1">
      <w:start w:val="1"/>
      <w:numFmt w:val="lowerRoman"/>
      <w:lvlText w:val="%3."/>
      <w:lvlJc w:val="right"/>
      <w:pPr>
        <w:ind w:left="2443" w:hanging="180"/>
      </w:pPr>
    </w:lvl>
    <w:lvl w:ilvl="3" w:tplc="999EE412" w:tentative="1">
      <w:start w:val="1"/>
      <w:numFmt w:val="decimal"/>
      <w:lvlText w:val="%4."/>
      <w:lvlJc w:val="left"/>
      <w:pPr>
        <w:ind w:left="3163" w:hanging="360"/>
      </w:pPr>
    </w:lvl>
    <w:lvl w:ilvl="4" w:tplc="0C7C376E" w:tentative="1">
      <w:start w:val="1"/>
      <w:numFmt w:val="lowerLetter"/>
      <w:lvlText w:val="%5."/>
      <w:lvlJc w:val="left"/>
      <w:pPr>
        <w:ind w:left="3883" w:hanging="360"/>
      </w:pPr>
    </w:lvl>
    <w:lvl w:ilvl="5" w:tplc="C5F85718" w:tentative="1">
      <w:start w:val="1"/>
      <w:numFmt w:val="lowerRoman"/>
      <w:lvlText w:val="%6."/>
      <w:lvlJc w:val="right"/>
      <w:pPr>
        <w:ind w:left="4603" w:hanging="180"/>
      </w:pPr>
    </w:lvl>
    <w:lvl w:ilvl="6" w:tplc="A13E5A62" w:tentative="1">
      <w:start w:val="1"/>
      <w:numFmt w:val="decimal"/>
      <w:lvlText w:val="%7."/>
      <w:lvlJc w:val="left"/>
      <w:pPr>
        <w:ind w:left="5323" w:hanging="360"/>
      </w:pPr>
    </w:lvl>
    <w:lvl w:ilvl="7" w:tplc="DFD8E418" w:tentative="1">
      <w:start w:val="1"/>
      <w:numFmt w:val="lowerLetter"/>
      <w:lvlText w:val="%8."/>
      <w:lvlJc w:val="left"/>
      <w:pPr>
        <w:ind w:left="6043" w:hanging="360"/>
      </w:pPr>
    </w:lvl>
    <w:lvl w:ilvl="8" w:tplc="1030601A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>
    <w:nsid w:val="440D63F3"/>
    <w:multiLevelType w:val="hybridMultilevel"/>
    <w:tmpl w:val="9E74735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1B4F41"/>
    <w:multiLevelType w:val="hybridMultilevel"/>
    <w:tmpl w:val="7B5014C4"/>
    <w:lvl w:ilvl="0" w:tplc="50264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0A18C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DFC74D7"/>
    <w:multiLevelType w:val="multilevel"/>
    <w:tmpl w:val="D22EE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96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7384C50"/>
    <w:multiLevelType w:val="hybridMultilevel"/>
    <w:tmpl w:val="45CCF906"/>
    <w:lvl w:ilvl="0" w:tplc="8FF07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7C44DB"/>
    <w:multiLevelType w:val="hybridMultilevel"/>
    <w:tmpl w:val="A0E28A08"/>
    <w:lvl w:ilvl="0" w:tplc="CA9431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CB7FDF"/>
    <w:multiLevelType w:val="hybridMultilevel"/>
    <w:tmpl w:val="DC48723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5C457CB"/>
    <w:multiLevelType w:val="hybridMultilevel"/>
    <w:tmpl w:val="8FC60C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26588A"/>
    <w:multiLevelType w:val="hybridMultilevel"/>
    <w:tmpl w:val="CC927964"/>
    <w:lvl w:ilvl="0" w:tplc="0C09000F">
      <w:start w:val="1"/>
      <w:numFmt w:val="bullet"/>
      <w:pStyle w:val="Bulletpoint2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5">
    <w:nsid w:val="68D46101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3EB6145"/>
    <w:multiLevelType w:val="hybridMultilevel"/>
    <w:tmpl w:val="DCB001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E2819EC"/>
    <w:multiLevelType w:val="multilevel"/>
    <w:tmpl w:val="1250F310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0"/>
  </w:num>
  <w:num w:numId="2">
    <w:abstractNumId w:val="16"/>
  </w:num>
  <w:num w:numId="3">
    <w:abstractNumId w:val="14"/>
  </w:num>
  <w:num w:numId="4">
    <w:abstractNumId w:val="35"/>
  </w:num>
  <w:num w:numId="5">
    <w:abstractNumId w:val="13"/>
  </w:num>
  <w:num w:numId="6">
    <w:abstractNumId w:val="24"/>
  </w:num>
  <w:num w:numId="7">
    <w:abstractNumId w:val="37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4"/>
  </w:num>
  <w:num w:numId="18">
    <w:abstractNumId w:val="25"/>
  </w:num>
  <w:num w:numId="19">
    <w:abstractNumId w:val="16"/>
    <w:lvlOverride w:ilvl="0">
      <w:startOverride w:val="1"/>
    </w:lvlOverride>
  </w:num>
  <w:num w:numId="20">
    <w:abstractNumId w:val="21"/>
  </w:num>
  <w:num w:numId="21">
    <w:abstractNumId w:val="23"/>
  </w:num>
  <w:num w:numId="22">
    <w:abstractNumId w:val="18"/>
  </w:num>
  <w:num w:numId="23">
    <w:abstractNumId w:val="33"/>
  </w:num>
  <w:num w:numId="24">
    <w:abstractNumId w:val="36"/>
  </w:num>
  <w:num w:numId="25">
    <w:abstractNumId w:val="31"/>
  </w:num>
  <w:num w:numId="26">
    <w:abstractNumId w:val="15"/>
  </w:num>
  <w:num w:numId="27">
    <w:abstractNumId w:val="11"/>
  </w:num>
  <w:num w:numId="28">
    <w:abstractNumId w:val="22"/>
  </w:num>
  <w:num w:numId="29">
    <w:abstractNumId w:val="12"/>
  </w:num>
  <w:num w:numId="30">
    <w:abstractNumId w:val="27"/>
  </w:num>
  <w:num w:numId="31">
    <w:abstractNumId w:val="10"/>
  </w:num>
  <w:num w:numId="32">
    <w:abstractNumId w:val="17"/>
  </w:num>
  <w:num w:numId="33">
    <w:abstractNumId w:val="2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9"/>
  </w:num>
  <w:num w:numId="37">
    <w:abstractNumId w:val="26"/>
  </w:num>
  <w:num w:numId="38">
    <w:abstractNumId w:val="32"/>
  </w:num>
  <w:num w:numId="39">
    <w:abstractNumId w:val="9"/>
  </w:num>
  <w:num w:numId="40">
    <w:abstractNumId w:val="20"/>
  </w:num>
  <w:num w:numId="41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urrentname" w:val="\\cdchnas-evs02\home$\akhan\Desktop\Product Safety Regulatory Processes - January 2015.doc"/>
  </w:docVars>
  <w:rsids>
    <w:rsidRoot w:val="00EC30B1"/>
    <w:rsid w:val="000058E4"/>
    <w:rsid w:val="00006F78"/>
    <w:rsid w:val="00010D1B"/>
    <w:rsid w:val="00021202"/>
    <w:rsid w:val="0003578C"/>
    <w:rsid w:val="000361C0"/>
    <w:rsid w:val="0004729B"/>
    <w:rsid w:val="00056EC7"/>
    <w:rsid w:val="00061375"/>
    <w:rsid w:val="00063247"/>
    <w:rsid w:val="00070F9F"/>
    <w:rsid w:val="0007137B"/>
    <w:rsid w:val="000738DE"/>
    <w:rsid w:val="00085663"/>
    <w:rsid w:val="00085EBF"/>
    <w:rsid w:val="00091AFF"/>
    <w:rsid w:val="00097145"/>
    <w:rsid w:val="00097B08"/>
    <w:rsid w:val="000D122C"/>
    <w:rsid w:val="000E1819"/>
    <w:rsid w:val="000E680A"/>
    <w:rsid w:val="000E6C72"/>
    <w:rsid w:val="000F34F8"/>
    <w:rsid w:val="000F4236"/>
    <w:rsid w:val="000F693A"/>
    <w:rsid w:val="00112331"/>
    <w:rsid w:val="00116EB2"/>
    <w:rsid w:val="0012041B"/>
    <w:rsid w:val="00124609"/>
    <w:rsid w:val="001404F9"/>
    <w:rsid w:val="001573E4"/>
    <w:rsid w:val="00160756"/>
    <w:rsid w:val="0017232E"/>
    <w:rsid w:val="00174102"/>
    <w:rsid w:val="00180157"/>
    <w:rsid w:val="00186F77"/>
    <w:rsid w:val="001926A4"/>
    <w:rsid w:val="001A2B20"/>
    <w:rsid w:val="001B0595"/>
    <w:rsid w:val="001B45A0"/>
    <w:rsid w:val="001D055E"/>
    <w:rsid w:val="001E549D"/>
    <w:rsid w:val="001F36D5"/>
    <w:rsid w:val="001F492E"/>
    <w:rsid w:val="001F6DA3"/>
    <w:rsid w:val="00224DB9"/>
    <w:rsid w:val="002469E4"/>
    <w:rsid w:val="00251745"/>
    <w:rsid w:val="0025449F"/>
    <w:rsid w:val="00263AC0"/>
    <w:rsid w:val="0026772D"/>
    <w:rsid w:val="00270909"/>
    <w:rsid w:val="002770C3"/>
    <w:rsid w:val="00277913"/>
    <w:rsid w:val="0028561A"/>
    <w:rsid w:val="00286874"/>
    <w:rsid w:val="00296B65"/>
    <w:rsid w:val="002A7DEF"/>
    <w:rsid w:val="002B2C2A"/>
    <w:rsid w:val="002B6C28"/>
    <w:rsid w:val="002B76BF"/>
    <w:rsid w:val="002C662C"/>
    <w:rsid w:val="002E66A0"/>
    <w:rsid w:val="002F7986"/>
    <w:rsid w:val="00307F6D"/>
    <w:rsid w:val="00316B1F"/>
    <w:rsid w:val="003177A2"/>
    <w:rsid w:val="003271B5"/>
    <w:rsid w:val="00331264"/>
    <w:rsid w:val="00334C8D"/>
    <w:rsid w:val="003518B3"/>
    <w:rsid w:val="003535F1"/>
    <w:rsid w:val="0036217F"/>
    <w:rsid w:val="00367E59"/>
    <w:rsid w:val="00370230"/>
    <w:rsid w:val="00381C35"/>
    <w:rsid w:val="003846F1"/>
    <w:rsid w:val="003D2F43"/>
    <w:rsid w:val="003D3CAB"/>
    <w:rsid w:val="003F279A"/>
    <w:rsid w:val="00400143"/>
    <w:rsid w:val="004415C6"/>
    <w:rsid w:val="004510A6"/>
    <w:rsid w:val="00451D42"/>
    <w:rsid w:val="00480B4B"/>
    <w:rsid w:val="00485DC4"/>
    <w:rsid w:val="00491255"/>
    <w:rsid w:val="004A1795"/>
    <w:rsid w:val="004B4412"/>
    <w:rsid w:val="004C348C"/>
    <w:rsid w:val="004D55BA"/>
    <w:rsid w:val="004D6A4B"/>
    <w:rsid w:val="004D7E40"/>
    <w:rsid w:val="00530128"/>
    <w:rsid w:val="00532467"/>
    <w:rsid w:val="005431A8"/>
    <w:rsid w:val="00564A4D"/>
    <w:rsid w:val="0056788D"/>
    <w:rsid w:val="00571B35"/>
    <w:rsid w:val="00576246"/>
    <w:rsid w:val="00577A09"/>
    <w:rsid w:val="00583F48"/>
    <w:rsid w:val="00584D8F"/>
    <w:rsid w:val="005A404D"/>
    <w:rsid w:val="005A4B3F"/>
    <w:rsid w:val="005B1E3C"/>
    <w:rsid w:val="005C26CC"/>
    <w:rsid w:val="005C6232"/>
    <w:rsid w:val="005C6F0E"/>
    <w:rsid w:val="005E610E"/>
    <w:rsid w:val="00601C72"/>
    <w:rsid w:val="00615C6B"/>
    <w:rsid w:val="00632D6D"/>
    <w:rsid w:val="00642C3E"/>
    <w:rsid w:val="006509D3"/>
    <w:rsid w:val="00663DAD"/>
    <w:rsid w:val="0067172E"/>
    <w:rsid w:val="00676679"/>
    <w:rsid w:val="0067723D"/>
    <w:rsid w:val="00695687"/>
    <w:rsid w:val="006B4CF9"/>
    <w:rsid w:val="006B7AC8"/>
    <w:rsid w:val="006C2085"/>
    <w:rsid w:val="006D550F"/>
    <w:rsid w:val="00701CAB"/>
    <w:rsid w:val="00707563"/>
    <w:rsid w:val="0072348C"/>
    <w:rsid w:val="00724860"/>
    <w:rsid w:val="00724A37"/>
    <w:rsid w:val="007303C3"/>
    <w:rsid w:val="0073211F"/>
    <w:rsid w:val="00743223"/>
    <w:rsid w:val="00746E01"/>
    <w:rsid w:val="00753ED0"/>
    <w:rsid w:val="00763E5D"/>
    <w:rsid w:val="00767740"/>
    <w:rsid w:val="00777EE6"/>
    <w:rsid w:val="00782EEA"/>
    <w:rsid w:val="007959A1"/>
    <w:rsid w:val="00795BF9"/>
    <w:rsid w:val="007B2C72"/>
    <w:rsid w:val="007C1C53"/>
    <w:rsid w:val="007E0BF2"/>
    <w:rsid w:val="007E4904"/>
    <w:rsid w:val="007E4CB5"/>
    <w:rsid w:val="007F066B"/>
    <w:rsid w:val="008033C4"/>
    <w:rsid w:val="00806C88"/>
    <w:rsid w:val="0081034E"/>
    <w:rsid w:val="0081663D"/>
    <w:rsid w:val="00820DB6"/>
    <w:rsid w:val="008344F6"/>
    <w:rsid w:val="0083510F"/>
    <w:rsid w:val="0085096E"/>
    <w:rsid w:val="00851209"/>
    <w:rsid w:val="008837AC"/>
    <w:rsid w:val="008A0025"/>
    <w:rsid w:val="008A587D"/>
    <w:rsid w:val="008B3A6E"/>
    <w:rsid w:val="008C5486"/>
    <w:rsid w:val="008E7031"/>
    <w:rsid w:val="008F78AC"/>
    <w:rsid w:val="009156D6"/>
    <w:rsid w:val="009233EE"/>
    <w:rsid w:val="00951F65"/>
    <w:rsid w:val="00954542"/>
    <w:rsid w:val="009661DE"/>
    <w:rsid w:val="009856B7"/>
    <w:rsid w:val="0099427B"/>
    <w:rsid w:val="00996AD5"/>
    <w:rsid w:val="0099707D"/>
    <w:rsid w:val="009A352B"/>
    <w:rsid w:val="009B16ED"/>
    <w:rsid w:val="009B74B0"/>
    <w:rsid w:val="009D6B46"/>
    <w:rsid w:val="009F4940"/>
    <w:rsid w:val="00A152DB"/>
    <w:rsid w:val="00A21294"/>
    <w:rsid w:val="00A402DA"/>
    <w:rsid w:val="00A40B09"/>
    <w:rsid w:val="00A4478A"/>
    <w:rsid w:val="00A44852"/>
    <w:rsid w:val="00A57D04"/>
    <w:rsid w:val="00A60A26"/>
    <w:rsid w:val="00A61598"/>
    <w:rsid w:val="00A84F46"/>
    <w:rsid w:val="00A871F4"/>
    <w:rsid w:val="00A92D7A"/>
    <w:rsid w:val="00AB5D38"/>
    <w:rsid w:val="00AC1B2C"/>
    <w:rsid w:val="00AC3264"/>
    <w:rsid w:val="00AE1BF1"/>
    <w:rsid w:val="00AF0DD2"/>
    <w:rsid w:val="00B11B52"/>
    <w:rsid w:val="00B13048"/>
    <w:rsid w:val="00B1716D"/>
    <w:rsid w:val="00B17A1D"/>
    <w:rsid w:val="00B207A0"/>
    <w:rsid w:val="00B52B77"/>
    <w:rsid w:val="00B56E03"/>
    <w:rsid w:val="00B723B3"/>
    <w:rsid w:val="00B8080B"/>
    <w:rsid w:val="00B87C39"/>
    <w:rsid w:val="00B9081F"/>
    <w:rsid w:val="00BA4665"/>
    <w:rsid w:val="00BB1712"/>
    <w:rsid w:val="00BB2FB2"/>
    <w:rsid w:val="00BB3304"/>
    <w:rsid w:val="00BB37FF"/>
    <w:rsid w:val="00BC0880"/>
    <w:rsid w:val="00BD3446"/>
    <w:rsid w:val="00BD4F04"/>
    <w:rsid w:val="00BD6361"/>
    <w:rsid w:val="00BE1F1B"/>
    <w:rsid w:val="00BE47B5"/>
    <w:rsid w:val="00C31AE3"/>
    <w:rsid w:val="00C35BFD"/>
    <w:rsid w:val="00C41904"/>
    <w:rsid w:val="00C51C5A"/>
    <w:rsid w:val="00C538A9"/>
    <w:rsid w:val="00C53B5A"/>
    <w:rsid w:val="00C549E2"/>
    <w:rsid w:val="00C54F5A"/>
    <w:rsid w:val="00C602B7"/>
    <w:rsid w:val="00C86679"/>
    <w:rsid w:val="00C966B4"/>
    <w:rsid w:val="00CB65DA"/>
    <w:rsid w:val="00CB666B"/>
    <w:rsid w:val="00D01CF0"/>
    <w:rsid w:val="00D0442A"/>
    <w:rsid w:val="00D06DC0"/>
    <w:rsid w:val="00D35931"/>
    <w:rsid w:val="00D51BCE"/>
    <w:rsid w:val="00D60DF7"/>
    <w:rsid w:val="00D61388"/>
    <w:rsid w:val="00D61A54"/>
    <w:rsid w:val="00D64DEA"/>
    <w:rsid w:val="00D66A8A"/>
    <w:rsid w:val="00D7382D"/>
    <w:rsid w:val="00D80893"/>
    <w:rsid w:val="00D844C4"/>
    <w:rsid w:val="00D9223D"/>
    <w:rsid w:val="00D92CF1"/>
    <w:rsid w:val="00D92D38"/>
    <w:rsid w:val="00D950F5"/>
    <w:rsid w:val="00D95380"/>
    <w:rsid w:val="00DA1AAA"/>
    <w:rsid w:val="00DB0F93"/>
    <w:rsid w:val="00DC7981"/>
    <w:rsid w:val="00DE4EFA"/>
    <w:rsid w:val="00DE5520"/>
    <w:rsid w:val="00DE5FD1"/>
    <w:rsid w:val="00E04818"/>
    <w:rsid w:val="00E06442"/>
    <w:rsid w:val="00E14535"/>
    <w:rsid w:val="00E23993"/>
    <w:rsid w:val="00E25B8C"/>
    <w:rsid w:val="00E43779"/>
    <w:rsid w:val="00E65C85"/>
    <w:rsid w:val="00E66199"/>
    <w:rsid w:val="00E66FCA"/>
    <w:rsid w:val="00E70771"/>
    <w:rsid w:val="00E755EC"/>
    <w:rsid w:val="00E7624D"/>
    <w:rsid w:val="00E90EC1"/>
    <w:rsid w:val="00EA3D42"/>
    <w:rsid w:val="00EA4695"/>
    <w:rsid w:val="00EA6B1B"/>
    <w:rsid w:val="00EC30B1"/>
    <w:rsid w:val="00EC3626"/>
    <w:rsid w:val="00EE28F3"/>
    <w:rsid w:val="00EF369F"/>
    <w:rsid w:val="00EF5110"/>
    <w:rsid w:val="00EF79D5"/>
    <w:rsid w:val="00F15882"/>
    <w:rsid w:val="00F20BD3"/>
    <w:rsid w:val="00F373A5"/>
    <w:rsid w:val="00F47559"/>
    <w:rsid w:val="00F64C7B"/>
    <w:rsid w:val="00F676DD"/>
    <w:rsid w:val="00F75A26"/>
    <w:rsid w:val="00F83FAD"/>
    <w:rsid w:val="00F952A0"/>
    <w:rsid w:val="00FA3C7F"/>
    <w:rsid w:val="00FB74E2"/>
    <w:rsid w:val="00FD1838"/>
    <w:rsid w:val="00FD5614"/>
    <w:rsid w:val="00FE0BE1"/>
    <w:rsid w:val="00FE1DE9"/>
    <w:rsid w:val="00FE39C2"/>
    <w:rsid w:val="00FE64AE"/>
    <w:rsid w:val="00FE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Normal Indent" w:semiHidden="0" w:unhideWhenUsed="0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C8D"/>
    <w:pPr>
      <w:spacing w:before="20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D6B46"/>
    <w:pPr>
      <w:spacing w:before="240"/>
      <w:outlineLvl w:val="0"/>
    </w:pPr>
    <w:rPr>
      <w:rFonts w:ascii="Lucida Fax" w:eastAsia="Times New Roman" w:hAnsi="Lucida Fax"/>
      <w:bCs/>
      <w:color w:val="51626F"/>
      <w:sz w:val="32"/>
      <w:szCs w:val="28"/>
    </w:rPr>
  </w:style>
  <w:style w:type="paragraph" w:styleId="Heading2">
    <w:name w:val="heading 2"/>
    <w:next w:val="Normal"/>
    <w:link w:val="Heading2Char"/>
    <w:qFormat/>
    <w:rsid w:val="009D6B46"/>
    <w:pPr>
      <w:spacing w:before="200" w:line="240" w:lineRule="atLeast"/>
      <w:outlineLvl w:val="1"/>
    </w:pPr>
    <w:rPr>
      <w:rFonts w:eastAsia="Times New Roman"/>
      <w:b/>
      <w:bCs/>
      <w:color w:val="51626F"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="Times New Roman"/>
      <w:b/>
      <w:bCs/>
      <w:color w:val="000000"/>
      <w:sz w:val="24"/>
    </w:rPr>
  </w:style>
  <w:style w:type="paragraph" w:styleId="Heading4">
    <w:name w:val="heading 4"/>
    <w:basedOn w:val="Normal"/>
    <w:next w:val="Normal"/>
    <w:link w:val="Heading4Char"/>
    <w:qFormat/>
    <w:rsid w:val="009D6B46"/>
    <w:pPr>
      <w:spacing w:before="240"/>
      <w:outlineLvl w:val="3"/>
    </w:pPr>
    <w:rPr>
      <w:rFonts w:eastAsia="Times New Roman"/>
      <w:b/>
      <w:bCs/>
      <w:i/>
      <w:iCs/>
      <w:color w:val="51626F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before="200" w:line="240" w:lineRule="atLeast"/>
      <w:outlineLvl w:val="4"/>
    </w:pPr>
    <w:rPr>
      <w:rFonts w:eastAsia="Times New Roman"/>
      <w:b/>
      <w:color w:val="283037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="Times New Roman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="Times New Roman"/>
      <w:color w:val="51626F"/>
      <w:szCs w:val="20"/>
    </w:rPr>
  </w:style>
  <w:style w:type="paragraph" w:styleId="Heading9">
    <w:name w:val="heading 9"/>
    <w:basedOn w:val="Normal"/>
    <w:next w:val="Normal"/>
    <w:link w:val="Heading9Char"/>
    <w:uiPriority w:val="2"/>
    <w:qFormat/>
    <w:rsid w:val="009D6B46"/>
    <w:pPr>
      <w:spacing w:before="240"/>
      <w:outlineLvl w:val="8"/>
    </w:pPr>
    <w:rPr>
      <w:rFonts w:eastAsia="Times New Roman"/>
      <w:i/>
      <w:iCs/>
      <w:color w:val="51626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D6B46"/>
    <w:rPr>
      <w:rFonts w:ascii="Lucida Fax" w:eastAsia="Times New Roman" w:hAnsi="Lucida Fax" w:cs="Times New Roman"/>
      <w:bCs/>
      <w:color w:val="51626F"/>
      <w:sz w:val="32"/>
      <w:szCs w:val="28"/>
    </w:rPr>
  </w:style>
  <w:style w:type="character" w:customStyle="1" w:styleId="Heading2Char">
    <w:name w:val="Heading 2 Char"/>
    <w:link w:val="Heading2"/>
    <w:rsid w:val="009D6B46"/>
    <w:rPr>
      <w:rFonts w:ascii="Arial" w:eastAsia="Times New Roman" w:hAnsi="Arial" w:cs="Times New Roman"/>
      <w:b/>
      <w:bCs/>
      <w:color w:val="51626F"/>
      <w:sz w:val="28"/>
      <w:szCs w:val="26"/>
    </w:rPr>
  </w:style>
  <w:style w:type="character" w:customStyle="1" w:styleId="Heading3Char">
    <w:name w:val="Heading 3 Char"/>
    <w:link w:val="Heading3"/>
    <w:rsid w:val="009D6B46"/>
    <w:rPr>
      <w:rFonts w:ascii="Arial" w:eastAsia="Times New Roman" w:hAnsi="Arial" w:cs="Times New Roman"/>
      <w:b/>
      <w:bCs/>
      <w:color w:val="000000"/>
      <w:sz w:val="24"/>
    </w:rPr>
  </w:style>
  <w:style w:type="character" w:customStyle="1" w:styleId="Heading4Char">
    <w:name w:val="Heading 4 Char"/>
    <w:link w:val="Heading4"/>
    <w:rsid w:val="009D6B46"/>
    <w:rPr>
      <w:rFonts w:ascii="Arial" w:eastAsia="Times New Roman" w:hAnsi="Arial" w:cs="Times New Roman"/>
      <w:b/>
      <w:bCs/>
      <w:i/>
      <w:iCs/>
      <w:color w:val="51626F"/>
      <w:sz w:val="24"/>
    </w:rPr>
  </w:style>
  <w:style w:type="character" w:customStyle="1" w:styleId="Heading5Char">
    <w:name w:val="Heading 5 Char"/>
    <w:link w:val="Heading5"/>
    <w:uiPriority w:val="2"/>
    <w:rsid w:val="009D6B46"/>
    <w:rPr>
      <w:rFonts w:ascii="Arial" w:eastAsia="Times New Roman" w:hAnsi="Arial" w:cs="Times New Roman"/>
      <w:b/>
      <w:color w:val="283037"/>
    </w:rPr>
  </w:style>
  <w:style w:type="character" w:customStyle="1" w:styleId="Heading6Char">
    <w:name w:val="Heading 6 Char"/>
    <w:link w:val="Heading6"/>
    <w:uiPriority w:val="2"/>
    <w:rsid w:val="009D6B46"/>
    <w:rPr>
      <w:rFonts w:ascii="Arial" w:eastAsia="Times New Roman" w:hAnsi="Arial" w:cs="Times New Roman"/>
      <w:b/>
      <w:i/>
      <w:iCs/>
    </w:rPr>
  </w:style>
  <w:style w:type="paragraph" w:customStyle="1" w:styleId="Reporttitle">
    <w:name w:val="Report title"/>
    <w:basedOn w:val="Normal"/>
    <w:link w:val="ReporttitleChar"/>
    <w:qFormat/>
    <w:rsid w:val="005C26CC"/>
    <w:pPr>
      <w:spacing w:before="520" w:after="120"/>
    </w:pPr>
    <w:rPr>
      <w:rFonts w:ascii="Lucida Fax" w:hAnsi="Lucida Fax"/>
      <w:color w:val="4F2D7F"/>
      <w:sz w:val="72"/>
      <w:szCs w:val="56"/>
    </w:rPr>
  </w:style>
  <w:style w:type="character" w:customStyle="1" w:styleId="ReporttitleChar">
    <w:name w:val="Report title Char"/>
    <w:link w:val="Reporttitle"/>
    <w:rsid w:val="005C26CC"/>
    <w:rPr>
      <w:rFonts w:ascii="Lucida Fax" w:hAnsi="Lucida Fax"/>
      <w:color w:val="4F2D7F"/>
      <w:sz w:val="72"/>
      <w:szCs w:val="56"/>
    </w:rPr>
  </w:style>
  <w:style w:type="paragraph" w:customStyle="1" w:styleId="Chaptertitle">
    <w:name w:val="Chapter title"/>
    <w:basedOn w:val="Reporttitle"/>
    <w:link w:val="ChaptertitleChar"/>
    <w:qFormat/>
    <w:rsid w:val="00B87C39"/>
    <w:rPr>
      <w:sz w:val="52"/>
      <w:szCs w:val="52"/>
    </w:rPr>
  </w:style>
  <w:style w:type="character" w:customStyle="1" w:styleId="ChaptertitleChar">
    <w:name w:val="Chapter title Char"/>
    <w:link w:val="Chaptertitle"/>
    <w:rsid w:val="00B87C39"/>
    <w:rPr>
      <w:rFonts w:ascii="Lucida Fax" w:hAnsi="Lucida Fax"/>
      <w:color w:val="4F2D7F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F952A0"/>
    <w:pPr>
      <w:spacing w:line="360" w:lineRule="auto"/>
      <w:contextualSpacing/>
    </w:pPr>
    <w:rPr>
      <w:color w:val="51626F"/>
      <w:sz w:val="16"/>
      <w:szCs w:val="16"/>
    </w:rPr>
  </w:style>
  <w:style w:type="character" w:customStyle="1" w:styleId="CopyrighttextChar">
    <w:name w:val="Copyright text Char"/>
    <w:link w:val="Copyrighttext"/>
    <w:uiPriority w:val="2"/>
    <w:rsid w:val="00724A37"/>
    <w:rPr>
      <w:rFonts w:ascii="Arial" w:hAnsi="Arial"/>
      <w:color w:val="51626F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085663"/>
    <w:pPr>
      <w:numPr>
        <w:numId w:val="32"/>
      </w:numPr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B17A1D"/>
    <w:pPr>
      <w:numPr>
        <w:ilvl w:val="1"/>
        <w:numId w:val="32"/>
      </w:numPr>
      <w:ind w:left="1021" w:hanging="1021"/>
    </w:pPr>
    <w:rPr>
      <w:rFonts w:cs="Arial"/>
      <w:b w:val="0"/>
    </w:rPr>
  </w:style>
  <w:style w:type="paragraph" w:customStyle="1" w:styleId="Numbered111">
    <w:name w:val="Numbered 1.1.1"/>
    <w:basedOn w:val="Heading3"/>
    <w:next w:val="Normal"/>
    <w:qFormat/>
    <w:rsid w:val="00B17A1D"/>
    <w:pPr>
      <w:numPr>
        <w:ilvl w:val="2"/>
        <w:numId w:val="32"/>
      </w:numPr>
      <w:ind w:left="1247" w:hanging="1247"/>
      <w:contextualSpacing/>
    </w:pPr>
  </w:style>
  <w:style w:type="paragraph" w:customStyle="1" w:styleId="Numbered1111">
    <w:name w:val="Numbered 1.1.1.1"/>
    <w:basedOn w:val="Heading4"/>
    <w:next w:val="Normal"/>
    <w:rsid w:val="00B17A1D"/>
    <w:pPr>
      <w:numPr>
        <w:ilvl w:val="3"/>
        <w:numId w:val="32"/>
      </w:numPr>
      <w:ind w:left="1474" w:hanging="1474"/>
    </w:pPr>
  </w:style>
  <w:style w:type="paragraph" w:customStyle="1" w:styleId="Numbered11111">
    <w:name w:val="Numbered 1.1.1.1.1"/>
    <w:basedOn w:val="Heading5"/>
    <w:next w:val="Normal"/>
    <w:uiPriority w:val="2"/>
    <w:rsid w:val="00B17A1D"/>
    <w:pPr>
      <w:numPr>
        <w:ilvl w:val="4"/>
        <w:numId w:val="32"/>
      </w:numPr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B17A1D"/>
    <w:pPr>
      <w:numPr>
        <w:ilvl w:val="5"/>
        <w:numId w:val="32"/>
      </w:numPr>
      <w:ind w:left="2155" w:hanging="2155"/>
    </w:pPr>
  </w:style>
  <w:style w:type="paragraph" w:styleId="Header">
    <w:name w:val="header"/>
    <w:basedOn w:val="Normal"/>
    <w:link w:val="HeaderChar"/>
    <w:uiPriority w:val="99"/>
    <w:unhideWhenUsed/>
    <w:qFormat/>
    <w:rsid w:val="008344F6"/>
    <w:pPr>
      <w:tabs>
        <w:tab w:val="center" w:pos="4513"/>
        <w:tab w:val="right" w:pos="9026"/>
      </w:tabs>
      <w:spacing w:after="120"/>
    </w:pPr>
    <w:rPr>
      <w:color w:val="51626F"/>
      <w:sz w:val="18"/>
    </w:rPr>
  </w:style>
  <w:style w:type="character" w:customStyle="1" w:styleId="HeaderChar">
    <w:name w:val="Header Char"/>
    <w:link w:val="Header"/>
    <w:uiPriority w:val="99"/>
    <w:rsid w:val="008344F6"/>
    <w:rPr>
      <w:rFonts w:ascii="Arial" w:hAnsi="Arial"/>
      <w:color w:val="51626F"/>
      <w:sz w:val="18"/>
    </w:rPr>
  </w:style>
  <w:style w:type="paragraph" w:styleId="NoSpacing">
    <w:name w:val="No Spacing"/>
    <w:uiPriority w:val="1"/>
    <w:qFormat/>
    <w:rsid w:val="00724A37"/>
    <w:rPr>
      <w:sz w:val="22"/>
      <w:szCs w:val="22"/>
      <w:lang w:eastAsia="en-US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qFormat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/>
        <w:left w:val="single" w:sz="4" w:space="4" w:color="FFFFFF"/>
        <w:bottom w:val="single" w:sz="4" w:space="1" w:color="FFFFFF"/>
        <w:right w:val="single" w:sz="4" w:space="4" w:color="FFFFFF"/>
      </w:pBdr>
      <w:shd w:val="clear" w:color="auto" w:fill="F2F2F2"/>
      <w:spacing w:after="240"/>
    </w:pPr>
    <w:rPr>
      <w:szCs w:val="20"/>
    </w:rPr>
  </w:style>
  <w:style w:type="character" w:customStyle="1" w:styleId="BoxedtextChar">
    <w:name w:val="Boxed text Char"/>
    <w:link w:val="Boxedtext"/>
    <w:uiPriority w:val="1"/>
    <w:rsid w:val="00AE1BF1"/>
    <w:rPr>
      <w:rFonts w:ascii="Arial" w:hAnsi="Arial"/>
      <w:szCs w:val="20"/>
      <w:shd w:val="clear" w:color="auto" w:fill="F2F2F2"/>
    </w:rPr>
  </w:style>
  <w:style w:type="paragraph" w:customStyle="1" w:styleId="Pullquoteheading">
    <w:name w:val="Pull quote heading"/>
    <w:basedOn w:val="Normal"/>
    <w:link w:val="PullquoteheadingChar"/>
    <w:uiPriority w:val="1"/>
    <w:rsid w:val="00EA3D42"/>
    <w:pPr>
      <w:spacing w:after="120"/>
      <w:contextualSpacing/>
    </w:pPr>
    <w:rPr>
      <w:rFonts w:ascii="Lucida Fax" w:hAnsi="Lucida Fax"/>
      <w:b/>
      <w:color w:val="DC5034"/>
      <w:sz w:val="24"/>
      <w:szCs w:val="24"/>
    </w:rPr>
  </w:style>
  <w:style w:type="character" w:customStyle="1" w:styleId="PullquoteheadingChar">
    <w:name w:val="Pull quote heading Char"/>
    <w:link w:val="Pullquoteheading"/>
    <w:uiPriority w:val="1"/>
    <w:rsid w:val="00AE1BF1"/>
    <w:rPr>
      <w:rFonts w:ascii="Lucida Fax" w:hAnsi="Lucida Fax"/>
      <w:b/>
      <w:color w:val="DC5034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AF0DD2"/>
    <w:pPr>
      <w:spacing w:before="120"/>
    </w:pPr>
    <w:rPr>
      <w:rFonts w:ascii="Lucida Fax" w:hAnsi="Lucida Fax"/>
      <w:color w:val="DC5034"/>
      <w:sz w:val="22"/>
      <w:szCs w:val="24"/>
      <w:lang w:eastAsia="en-US"/>
    </w:rPr>
  </w:style>
  <w:style w:type="character" w:customStyle="1" w:styleId="PullquotetextChar">
    <w:name w:val="Pull quote text Char"/>
    <w:link w:val="Pullquotetext"/>
    <w:uiPriority w:val="1"/>
    <w:rsid w:val="00AE1BF1"/>
    <w:rPr>
      <w:rFonts w:ascii="Lucida Fax" w:hAnsi="Lucida Fax"/>
      <w:b w:val="0"/>
      <w:color w:val="DC5034"/>
      <w:sz w:val="24"/>
      <w:szCs w:val="24"/>
    </w:rPr>
  </w:style>
  <w:style w:type="paragraph" w:customStyle="1" w:styleId="Note">
    <w:name w:val="Note"/>
    <w:basedOn w:val="Normal"/>
    <w:link w:val="NoteChar"/>
    <w:qFormat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D055E"/>
    <w:rPr>
      <w:rFonts w:ascii="Arial" w:hAnsi="Arial"/>
      <w:i/>
      <w:iCs/>
      <w:color w:val="000000"/>
    </w:rPr>
  </w:style>
  <w:style w:type="paragraph" w:customStyle="1" w:styleId="Bulletpoint">
    <w:name w:val="Bullet point"/>
    <w:basedOn w:val="ListBullet"/>
    <w:qFormat/>
    <w:rsid w:val="00FE64AE"/>
    <w:pPr>
      <w:numPr>
        <w:numId w:val="7"/>
      </w:numPr>
      <w:ind w:left="357" w:hanging="357"/>
    </w:pPr>
  </w:style>
  <w:style w:type="paragraph" w:styleId="ListBullet">
    <w:name w:val="List Bullet"/>
    <w:basedOn w:val="Normal"/>
    <w:uiPriority w:val="99"/>
    <w:unhideWhenUsed/>
    <w:rsid w:val="008033C4"/>
    <w:pPr>
      <w:numPr>
        <w:numId w:val="28"/>
      </w:numPr>
      <w:spacing w:before="120"/>
      <w:ind w:left="357" w:hanging="357"/>
    </w:pPr>
  </w:style>
  <w:style w:type="paragraph" w:customStyle="1" w:styleId="Bulletpoint2">
    <w:name w:val="Bullet point 2"/>
    <w:basedOn w:val="ListBullet2"/>
    <w:uiPriority w:val="1"/>
    <w:qFormat/>
    <w:rsid w:val="008033C4"/>
    <w:pPr>
      <w:numPr>
        <w:numId w:val="17"/>
      </w:numPr>
      <w:ind w:left="998" w:hanging="357"/>
    </w:pPr>
  </w:style>
  <w:style w:type="paragraph" w:styleId="ListNumber">
    <w:name w:val="List Number"/>
    <w:basedOn w:val="Normal"/>
    <w:uiPriority w:val="99"/>
    <w:rsid w:val="008033C4"/>
    <w:pPr>
      <w:numPr>
        <w:numId w:val="12"/>
      </w:numPr>
      <w:spacing w:before="120"/>
      <w:ind w:left="357" w:hanging="357"/>
    </w:pPr>
    <w:rPr>
      <w:color w:val="000000"/>
    </w:rPr>
  </w:style>
  <w:style w:type="paragraph" w:styleId="ListBullet2">
    <w:name w:val="List Bullet 2"/>
    <w:basedOn w:val="Normal"/>
    <w:uiPriority w:val="99"/>
    <w:unhideWhenUsed/>
    <w:rsid w:val="008033C4"/>
    <w:pPr>
      <w:numPr>
        <w:numId w:val="8"/>
      </w:numPr>
      <w:spacing w:before="120"/>
      <w:ind w:left="641" w:hanging="357"/>
    </w:pPr>
  </w:style>
  <w:style w:type="paragraph" w:styleId="TOCHeading">
    <w:name w:val="TOC Heading"/>
    <w:basedOn w:val="Normal"/>
    <w:next w:val="Normal"/>
    <w:uiPriority w:val="39"/>
    <w:qFormat/>
    <w:rsid w:val="00E04818"/>
    <w:pPr>
      <w:spacing w:before="480" w:after="120" w:line="276" w:lineRule="auto"/>
    </w:pPr>
    <w:rPr>
      <w:rFonts w:ascii="Lucida Fax" w:eastAsia="Times New Roman" w:hAnsi="Lucida Fax"/>
      <w:bCs/>
      <w:color w:val="51626F"/>
      <w:sz w:val="32"/>
      <w:szCs w:val="28"/>
      <w:lang w:val="en-US" w:eastAsia="ja-JP"/>
    </w:rPr>
  </w:style>
  <w:style w:type="paragraph" w:styleId="ListNumber2">
    <w:name w:val="List Number 2"/>
    <w:aliases w:val="List alphabet"/>
    <w:next w:val="Normal"/>
    <w:uiPriority w:val="99"/>
    <w:rsid w:val="008033C4"/>
    <w:pPr>
      <w:numPr>
        <w:numId w:val="13"/>
      </w:numPr>
      <w:spacing w:before="120"/>
      <w:ind w:left="357" w:hanging="357"/>
    </w:pPr>
    <w:rPr>
      <w:sz w:val="22"/>
      <w:szCs w:val="22"/>
      <w:lang w:eastAsia="en-US"/>
    </w:rPr>
  </w:style>
  <w:style w:type="character" w:styleId="Hyperlink">
    <w:name w:val="Hyperlink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A57D04"/>
    <w:pPr>
      <w:tabs>
        <w:tab w:val="center" w:pos="4513"/>
        <w:tab w:val="right" w:pos="9026"/>
      </w:tabs>
      <w:spacing w:after="120"/>
    </w:pPr>
    <w:rPr>
      <w:color w:val="51626F"/>
      <w:sz w:val="18"/>
    </w:rPr>
  </w:style>
  <w:style w:type="character" w:customStyle="1" w:styleId="FooterChar">
    <w:name w:val="Footer Char"/>
    <w:link w:val="Footer"/>
    <w:uiPriority w:val="99"/>
    <w:rsid w:val="00A57D04"/>
    <w:rPr>
      <w:rFonts w:ascii="Arial" w:hAnsi="Arial"/>
      <w:color w:val="51626F"/>
      <w:sz w:val="18"/>
    </w:rPr>
  </w:style>
  <w:style w:type="paragraph" w:styleId="ListParagraph">
    <w:name w:val="List Paragraph"/>
    <w:basedOn w:val="Normal"/>
    <w:uiPriority w:val="34"/>
    <w:qFormat/>
    <w:rsid w:val="008033C4"/>
    <w:pPr>
      <w:numPr>
        <w:numId w:val="29"/>
      </w:numPr>
      <w:spacing w:before="120"/>
      <w:ind w:left="714" w:hanging="357"/>
    </w:pPr>
  </w:style>
  <w:style w:type="character" w:customStyle="1" w:styleId="Heading7Char">
    <w:name w:val="Heading 7 Char"/>
    <w:link w:val="Heading7"/>
    <w:uiPriority w:val="2"/>
    <w:rsid w:val="009D6B46"/>
    <w:rPr>
      <w:rFonts w:ascii="Arial" w:eastAsia="Times New Roman" w:hAnsi="Arial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2"/>
    <w:rsid w:val="009D6B46"/>
    <w:rPr>
      <w:rFonts w:ascii="Arial" w:eastAsia="Times New Roman" w:hAnsi="Arial" w:cs="Times New Roman"/>
      <w:color w:val="51626F"/>
      <w:szCs w:val="20"/>
    </w:rPr>
  </w:style>
  <w:style w:type="character" w:customStyle="1" w:styleId="Heading9Char">
    <w:name w:val="Heading 9 Char"/>
    <w:link w:val="Heading9"/>
    <w:uiPriority w:val="2"/>
    <w:rsid w:val="009D6B46"/>
    <w:rPr>
      <w:rFonts w:ascii="Arial" w:eastAsia="Times New Roman" w:hAnsi="Arial" w:cs="Times New Roman"/>
      <w:i/>
      <w:iCs/>
      <w:color w:val="51626F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B17A1D"/>
    <w:pPr>
      <w:numPr>
        <w:ilvl w:val="6"/>
        <w:numId w:val="32"/>
      </w:numPr>
      <w:ind w:left="2381" w:hanging="2381"/>
    </w:pPr>
  </w:style>
  <w:style w:type="paragraph" w:customStyle="1" w:styleId="Numbered11111111">
    <w:name w:val="Numbered 1.1.1.1.1.1.1.1"/>
    <w:basedOn w:val="Heading8"/>
    <w:next w:val="Normal"/>
    <w:uiPriority w:val="2"/>
    <w:rsid w:val="00B17A1D"/>
    <w:pPr>
      <w:numPr>
        <w:ilvl w:val="7"/>
        <w:numId w:val="32"/>
      </w:numPr>
      <w:ind w:left="2608" w:hanging="2608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tblPr>
      <w:tblBorders>
        <w:top w:val="single" w:sz="4" w:space="0" w:color="BFBFBF"/>
        <w:bottom w:val="single" w:sz="4" w:space="0" w:color="BFBFBF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/>
          <w:left w:val="nil"/>
          <w:bottom w:val="single" w:sz="4" w:space="0" w:color="BFBF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tblPr>
      <w:tblBorders>
        <w:top w:val="single" w:sz="4" w:space="0" w:color="D5D6D2"/>
        <w:left w:val="single" w:sz="4" w:space="0" w:color="D5D6D2"/>
        <w:bottom w:val="single" w:sz="4" w:space="0" w:color="D5D6D2"/>
        <w:right w:val="single" w:sz="4" w:space="0" w:color="D5D6D2"/>
        <w:insideH w:val="single" w:sz="4" w:space="0" w:color="D5D6D2"/>
        <w:insideV w:val="single" w:sz="4" w:space="0" w:color="D5D6D2"/>
      </w:tblBorders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4" w:space="0" w:color="D5D6D2"/>
          <w:left w:val="single" w:sz="4" w:space="0" w:color="D5D6D2"/>
          <w:bottom w:val="single" w:sz="4" w:space="0" w:color="D5D6D2"/>
          <w:right w:val="single" w:sz="4" w:space="0" w:color="D5D6D2"/>
          <w:insideH w:val="single" w:sz="4" w:space="0" w:color="D5D6D2"/>
          <w:insideV w:val="single" w:sz="4" w:space="0" w:color="D5D6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/>
          <w:left w:val="single" w:sz="4" w:space="0" w:color="D5D6D2"/>
          <w:bottom w:val="single" w:sz="4" w:space="0" w:color="D5D6D2"/>
          <w:right w:val="single" w:sz="4" w:space="0" w:color="D5D6D2"/>
          <w:insideH w:val="single" w:sz="4" w:space="0" w:color="D5D6D2"/>
          <w:insideV w:val="single" w:sz="4" w:space="0" w:color="D5D6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rPr>
      <w:color w:val="3C4953"/>
    </w:rPr>
    <w:tblPr>
      <w:tblStyleRowBandSize w:val="1"/>
      <w:tblStyleColBandSize w:val="1"/>
      <w:tblBorders>
        <w:top w:val="single" w:sz="8" w:space="0" w:color="51626F"/>
        <w:bottom w:val="single" w:sz="8" w:space="0" w:color="51626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626F"/>
          <w:left w:val="nil"/>
          <w:bottom w:val="single" w:sz="8" w:space="0" w:color="51626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626F"/>
          <w:left w:val="nil"/>
          <w:bottom w:val="single" w:sz="8" w:space="0" w:color="51626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DD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DD"/>
      </w:tcPr>
    </w:tblStylePr>
  </w:style>
  <w:style w:type="table" w:styleId="LightShading-Accent2">
    <w:name w:val="Light Shading Accent 2"/>
    <w:basedOn w:val="TableNormal"/>
    <w:uiPriority w:val="60"/>
    <w:rsid w:val="00746E01"/>
    <w:rPr>
      <w:color w:val="000000"/>
    </w:rPr>
    <w:tblPr>
      <w:tblBorders>
        <w:top w:val="single" w:sz="4" w:space="0" w:color="B71202"/>
        <w:left w:val="single" w:sz="4" w:space="0" w:color="B71202"/>
        <w:bottom w:val="single" w:sz="4" w:space="0" w:color="B71202"/>
        <w:right w:val="single" w:sz="4" w:space="0" w:color="B71202"/>
        <w:insideH w:val="single" w:sz="4" w:space="0" w:color="B71202"/>
        <w:insideV w:val="single" w:sz="4" w:space="0" w:color="B71202"/>
      </w:tblBorders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B71202"/>
          <w:left w:val="single" w:sz="4" w:space="0" w:color="B71202"/>
          <w:bottom w:val="single" w:sz="4" w:space="0" w:color="B71202"/>
          <w:right w:val="single" w:sz="4" w:space="0" w:color="B71202"/>
          <w:insideH w:val="single" w:sz="4" w:space="0" w:color="B71202"/>
          <w:insideV w:val="single" w:sz="4" w:space="0" w:color="B71202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B71202"/>
          <w:left w:val="single" w:sz="4" w:space="0" w:color="B71202"/>
          <w:bottom w:val="single" w:sz="4" w:space="0" w:color="B71202"/>
          <w:right w:val="single" w:sz="4" w:space="0" w:color="B71202"/>
          <w:insideH w:val="single" w:sz="4" w:space="0" w:color="B71202"/>
          <w:insideV w:val="single" w:sz="4" w:space="0" w:color="B71202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rPr>
      <w:color w:val="007192"/>
    </w:rPr>
    <w:tblPr>
      <w:tblStyleRowBandSize w:val="1"/>
      <w:tblStyleColBandSize w:val="1"/>
      <w:tblBorders>
        <w:top w:val="single" w:sz="8" w:space="0" w:color="0098C3"/>
        <w:bottom w:val="single" w:sz="8" w:space="0" w:color="0098C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8C3"/>
          <w:left w:val="nil"/>
          <w:bottom w:val="single" w:sz="8" w:space="0" w:color="0098C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8C3"/>
          <w:left w:val="nil"/>
          <w:bottom w:val="single" w:sz="8" w:space="0" w:color="0098C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1ED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1EDFF"/>
      </w:tcPr>
    </w:tblStylePr>
  </w:style>
  <w:style w:type="table" w:styleId="LightGrid-Accent6">
    <w:name w:val="Light Grid Accent 6"/>
    <w:basedOn w:val="TableNormal"/>
    <w:uiPriority w:val="62"/>
    <w:rsid w:val="00A871F4"/>
    <w:tblPr>
      <w:tblStyleRowBandSize w:val="1"/>
      <w:tblStyleColBandSize w:val="1"/>
      <w:tblBorders>
        <w:top w:val="single" w:sz="8" w:space="0" w:color="DC5034"/>
        <w:left w:val="single" w:sz="8" w:space="0" w:color="DC5034"/>
        <w:bottom w:val="single" w:sz="8" w:space="0" w:color="DC5034"/>
        <w:right w:val="single" w:sz="8" w:space="0" w:color="DC5034"/>
        <w:insideH w:val="single" w:sz="8" w:space="0" w:color="DC5034"/>
        <w:insideV w:val="single" w:sz="8" w:space="0" w:color="DC5034"/>
      </w:tblBorders>
    </w:tblPr>
    <w:tblStylePr w:type="fir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DC5034"/>
          <w:left w:val="single" w:sz="8" w:space="0" w:color="DC5034"/>
          <w:bottom w:val="single" w:sz="18" w:space="0" w:color="DC5034"/>
          <w:right w:val="single" w:sz="8" w:space="0" w:color="DC5034"/>
          <w:insideH w:val="nil"/>
          <w:insideV w:val="single" w:sz="8" w:space="0" w:color="DC5034"/>
        </w:tcBorders>
      </w:tcPr>
    </w:tblStylePr>
    <w:tblStylePr w:type="la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double" w:sz="6" w:space="0" w:color="DC5034"/>
          <w:left w:val="single" w:sz="8" w:space="0" w:color="DC5034"/>
          <w:bottom w:val="single" w:sz="8" w:space="0" w:color="DC5034"/>
          <w:right w:val="single" w:sz="8" w:space="0" w:color="DC5034"/>
          <w:insideH w:val="nil"/>
          <w:insideV w:val="single" w:sz="8" w:space="0" w:color="DC5034"/>
        </w:tcBorders>
      </w:tcPr>
    </w:tblStylePr>
    <w:tblStylePr w:type="firstCol">
      <w:rPr>
        <w:rFonts w:ascii="Lucida Fax" w:eastAsia="Times New Roman" w:hAnsi="Lucida Fax" w:cs="Times New Roman"/>
        <w:b/>
        <w:bCs/>
      </w:rPr>
    </w:tblStylePr>
    <w:tblStylePr w:type="lastCol"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DC5034"/>
          <w:left w:val="single" w:sz="8" w:space="0" w:color="DC5034"/>
          <w:bottom w:val="single" w:sz="8" w:space="0" w:color="DC5034"/>
          <w:right w:val="single" w:sz="8" w:space="0" w:color="DC5034"/>
        </w:tcBorders>
      </w:tcPr>
    </w:tblStylePr>
    <w:tblStylePr w:type="band1Vert">
      <w:tblPr/>
      <w:tcPr>
        <w:tcBorders>
          <w:top w:val="single" w:sz="8" w:space="0" w:color="DC5034"/>
          <w:left w:val="single" w:sz="8" w:space="0" w:color="DC5034"/>
          <w:bottom w:val="single" w:sz="8" w:space="0" w:color="DC5034"/>
          <w:right w:val="single" w:sz="8" w:space="0" w:color="DC5034"/>
        </w:tcBorders>
        <w:shd w:val="clear" w:color="auto" w:fill="F6D3CC"/>
      </w:tcPr>
    </w:tblStylePr>
    <w:tblStylePr w:type="band1Horz">
      <w:tblPr/>
      <w:tcPr>
        <w:tcBorders>
          <w:top w:val="single" w:sz="8" w:space="0" w:color="DC5034"/>
          <w:left w:val="single" w:sz="8" w:space="0" w:color="DC5034"/>
          <w:bottom w:val="single" w:sz="8" w:space="0" w:color="DC5034"/>
          <w:right w:val="single" w:sz="8" w:space="0" w:color="DC5034"/>
          <w:insideV w:val="single" w:sz="8" w:space="0" w:color="DC5034"/>
        </w:tcBorders>
        <w:shd w:val="clear" w:color="auto" w:fill="F6D3CC"/>
      </w:tcPr>
    </w:tblStylePr>
    <w:tblStylePr w:type="band2Horz">
      <w:tblPr/>
      <w:tcPr>
        <w:tcBorders>
          <w:top w:val="single" w:sz="8" w:space="0" w:color="DC5034"/>
          <w:left w:val="single" w:sz="8" w:space="0" w:color="DC5034"/>
          <w:bottom w:val="single" w:sz="8" w:space="0" w:color="DC5034"/>
          <w:right w:val="single" w:sz="8" w:space="0" w:color="DC5034"/>
          <w:insideV w:val="single" w:sz="8" w:space="0" w:color="DC5034"/>
        </w:tcBorders>
      </w:tcPr>
    </w:tblStylePr>
  </w:style>
  <w:style w:type="table" w:styleId="MediumShading1">
    <w:name w:val="Medium Shading 1"/>
    <w:basedOn w:val="TableNormal"/>
    <w:uiPriority w:val="63"/>
    <w:rsid w:val="00A871F4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tblPr>
      <w:tblStyleRowBandSize w:val="1"/>
      <w:tblStyleColBandSize w:val="1"/>
      <w:tblBorders>
        <w:top w:val="single" w:sz="8" w:space="0" w:color="758A9A"/>
        <w:left w:val="single" w:sz="8" w:space="0" w:color="758A9A"/>
        <w:bottom w:val="single" w:sz="8" w:space="0" w:color="758A9A"/>
        <w:right w:val="single" w:sz="8" w:space="0" w:color="758A9A"/>
        <w:insideH w:val="single" w:sz="8" w:space="0" w:color="758A9A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58A9A"/>
          <w:left w:val="single" w:sz="8" w:space="0" w:color="758A9A"/>
          <w:bottom w:val="single" w:sz="8" w:space="0" w:color="758A9A"/>
          <w:right w:val="single" w:sz="8" w:space="0" w:color="758A9A"/>
          <w:insideH w:val="nil"/>
          <w:insideV w:val="nil"/>
        </w:tcBorders>
        <w:shd w:val="clear" w:color="auto" w:fill="51626F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8A9A"/>
          <w:left w:val="single" w:sz="8" w:space="0" w:color="758A9A"/>
          <w:bottom w:val="single" w:sz="8" w:space="0" w:color="758A9A"/>
          <w:right w:val="single" w:sz="8" w:space="0" w:color="758A9A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8DD"/>
      </w:tcPr>
    </w:tblStylePr>
    <w:tblStylePr w:type="band1Horz">
      <w:tblPr/>
      <w:tcPr>
        <w:tcBorders>
          <w:insideH w:val="nil"/>
          <w:insideV w:val="nil"/>
        </w:tcBorders>
        <w:shd w:val="clear" w:color="auto" w:fill="D1D8DD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tblPr>
      <w:tblStyleRowBandSize w:val="1"/>
      <w:tblStyleColBandSize w:val="1"/>
      <w:tblBorders>
        <w:top w:val="single" w:sz="8" w:space="0" w:color="7643BB"/>
        <w:left w:val="single" w:sz="8" w:space="0" w:color="7643BB"/>
        <w:bottom w:val="single" w:sz="8" w:space="0" w:color="7643BB"/>
        <w:right w:val="single" w:sz="8" w:space="0" w:color="7643BB"/>
        <w:insideH w:val="single" w:sz="8" w:space="0" w:color="7643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643BB"/>
          <w:left w:val="single" w:sz="8" w:space="0" w:color="7643BB"/>
          <w:bottom w:val="single" w:sz="8" w:space="0" w:color="7643BB"/>
          <w:right w:val="single" w:sz="8" w:space="0" w:color="7643BB"/>
          <w:insideH w:val="nil"/>
          <w:insideV w:val="nil"/>
        </w:tcBorders>
        <w:shd w:val="clear" w:color="auto" w:fill="4F2D7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43BB"/>
          <w:left w:val="single" w:sz="8" w:space="0" w:color="7643BB"/>
          <w:bottom w:val="single" w:sz="8" w:space="0" w:color="7643BB"/>
          <w:right w:val="single" w:sz="8" w:space="0" w:color="7643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tblPr>
      <w:tblStyleRowBandSize w:val="1"/>
      <w:tblStyleColBandSize w:val="1"/>
      <w:tblBorders>
        <w:top w:val="single" w:sz="8" w:space="0" w:color="13CAFF"/>
        <w:left w:val="single" w:sz="8" w:space="0" w:color="13CAFF"/>
        <w:bottom w:val="single" w:sz="8" w:space="0" w:color="13CAFF"/>
        <w:right w:val="single" w:sz="8" w:space="0" w:color="13CAFF"/>
        <w:insideH w:val="single" w:sz="8" w:space="0" w:color="13CAF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13CAFF"/>
          <w:left w:val="single" w:sz="8" w:space="0" w:color="13CAFF"/>
          <w:bottom w:val="single" w:sz="8" w:space="0" w:color="13CAFF"/>
          <w:right w:val="single" w:sz="8" w:space="0" w:color="13CAFF"/>
          <w:insideH w:val="nil"/>
          <w:insideV w:val="nil"/>
        </w:tcBorders>
        <w:shd w:val="clear" w:color="auto" w:fill="0098C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CAFF"/>
          <w:left w:val="single" w:sz="8" w:space="0" w:color="13CAFF"/>
          <w:bottom w:val="single" w:sz="8" w:space="0" w:color="13CAFF"/>
          <w:right w:val="single" w:sz="8" w:space="0" w:color="13CA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ED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1ED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tblPr>
      <w:tblStyleRowBandSize w:val="1"/>
      <w:tblStyleColBandSize w:val="1"/>
      <w:tblBorders>
        <w:top w:val="single" w:sz="8" w:space="0" w:color="B7DAF0"/>
        <w:left w:val="single" w:sz="8" w:space="0" w:color="B7DAF0"/>
        <w:bottom w:val="single" w:sz="8" w:space="0" w:color="B7DAF0"/>
        <w:right w:val="single" w:sz="8" w:space="0" w:color="B7DAF0"/>
        <w:insideH w:val="single" w:sz="8" w:space="0" w:color="B7DAF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7DAF0"/>
          <w:left w:val="single" w:sz="8" w:space="0" w:color="B7DAF0"/>
          <w:bottom w:val="single" w:sz="8" w:space="0" w:color="B7DAF0"/>
          <w:right w:val="single" w:sz="8" w:space="0" w:color="B7DAF0"/>
          <w:insideH w:val="nil"/>
          <w:insideV w:val="nil"/>
        </w:tcBorders>
        <w:shd w:val="clear" w:color="auto" w:fill="A0CFE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DAF0"/>
          <w:left w:val="single" w:sz="8" w:space="0" w:color="B7DAF0"/>
          <w:bottom w:val="single" w:sz="8" w:space="0" w:color="B7DAF0"/>
          <w:right w:val="single" w:sz="8" w:space="0" w:color="B7DAF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3FA"/>
      </w:tcPr>
    </w:tblStylePr>
    <w:tblStylePr w:type="band1Horz">
      <w:tblPr/>
      <w:tcPr>
        <w:tcBorders>
          <w:insideH w:val="nil"/>
          <w:insideV w:val="nil"/>
        </w:tcBorders>
        <w:shd w:val="clear" w:color="auto" w:fill="E7F3FA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tblPr>
      <w:tblStyleRowBandSize w:val="1"/>
      <w:tblStyleColBandSize w:val="1"/>
      <w:tblBorders>
        <w:top w:val="single" w:sz="8" w:space="0" w:color="FC220E"/>
        <w:left w:val="single" w:sz="8" w:space="0" w:color="FC220E"/>
        <w:bottom w:val="single" w:sz="8" w:space="0" w:color="FC220E"/>
        <w:right w:val="single" w:sz="8" w:space="0" w:color="FC220E"/>
        <w:insideH w:val="single" w:sz="8" w:space="0" w:color="FC220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C220E"/>
          <w:left w:val="single" w:sz="8" w:space="0" w:color="FC220E"/>
          <w:bottom w:val="single" w:sz="8" w:space="0" w:color="FC220E"/>
          <w:right w:val="single" w:sz="8" w:space="0" w:color="FC220E"/>
          <w:insideH w:val="nil"/>
          <w:insideV w:val="nil"/>
        </w:tcBorders>
        <w:shd w:val="clear" w:color="auto" w:fill="B7120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220E"/>
          <w:left w:val="single" w:sz="8" w:space="0" w:color="FC220E"/>
          <w:bottom w:val="single" w:sz="8" w:space="0" w:color="FC220E"/>
          <w:right w:val="single" w:sz="8" w:space="0" w:color="FC220E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B6A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B6A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rPr>
      <w:color w:val="880D01"/>
    </w:rPr>
    <w:tblPr>
      <w:tblStyleRowBandSize w:val="1"/>
      <w:tblStyleColBandSize w:val="1"/>
      <w:tblBorders>
        <w:top w:val="single" w:sz="8" w:space="0" w:color="B71202"/>
        <w:bottom w:val="single" w:sz="8" w:space="0" w:color="B7120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1202"/>
          <w:left w:val="nil"/>
          <w:bottom w:val="single" w:sz="8" w:space="0" w:color="B7120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1202"/>
          <w:left w:val="nil"/>
          <w:bottom w:val="single" w:sz="8" w:space="0" w:color="B7120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B6A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B6AF"/>
      </w:tcPr>
    </w:tblStylePr>
  </w:style>
  <w:style w:type="table" w:styleId="LightGrid-Accent3">
    <w:name w:val="Light Grid Accent 3"/>
    <w:basedOn w:val="TableNormal"/>
    <w:uiPriority w:val="62"/>
    <w:rsid w:val="00A871F4"/>
    <w:tblPr>
      <w:tblStyleRowBandSize w:val="1"/>
      <w:tblStyleColBandSize w:val="1"/>
      <w:tblBorders>
        <w:top w:val="single" w:sz="8" w:space="0" w:color="0098C3"/>
        <w:left w:val="single" w:sz="8" w:space="0" w:color="0098C3"/>
        <w:bottom w:val="single" w:sz="8" w:space="0" w:color="0098C3"/>
        <w:right w:val="single" w:sz="8" w:space="0" w:color="0098C3"/>
        <w:insideH w:val="single" w:sz="8" w:space="0" w:color="0098C3"/>
        <w:insideV w:val="single" w:sz="8" w:space="0" w:color="0098C3"/>
      </w:tblBorders>
    </w:tblPr>
    <w:tblStylePr w:type="fir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0098C3"/>
          <w:left w:val="single" w:sz="8" w:space="0" w:color="0098C3"/>
          <w:bottom w:val="single" w:sz="18" w:space="0" w:color="0098C3"/>
          <w:right w:val="single" w:sz="8" w:space="0" w:color="0098C3"/>
          <w:insideH w:val="nil"/>
          <w:insideV w:val="single" w:sz="8" w:space="0" w:color="0098C3"/>
        </w:tcBorders>
      </w:tcPr>
    </w:tblStylePr>
    <w:tblStylePr w:type="la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double" w:sz="6" w:space="0" w:color="0098C3"/>
          <w:left w:val="single" w:sz="8" w:space="0" w:color="0098C3"/>
          <w:bottom w:val="single" w:sz="8" w:space="0" w:color="0098C3"/>
          <w:right w:val="single" w:sz="8" w:space="0" w:color="0098C3"/>
          <w:insideH w:val="nil"/>
          <w:insideV w:val="single" w:sz="8" w:space="0" w:color="0098C3"/>
        </w:tcBorders>
      </w:tcPr>
    </w:tblStylePr>
    <w:tblStylePr w:type="firstCol">
      <w:rPr>
        <w:rFonts w:ascii="Lucida Fax" w:eastAsia="Times New Roman" w:hAnsi="Lucida Fax" w:cs="Times New Roman"/>
        <w:b/>
        <w:bCs/>
      </w:rPr>
    </w:tblStylePr>
    <w:tblStylePr w:type="lastCol"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0098C3"/>
          <w:left w:val="single" w:sz="8" w:space="0" w:color="0098C3"/>
          <w:bottom w:val="single" w:sz="8" w:space="0" w:color="0098C3"/>
          <w:right w:val="single" w:sz="8" w:space="0" w:color="0098C3"/>
        </w:tcBorders>
      </w:tcPr>
    </w:tblStylePr>
    <w:tblStylePr w:type="band1Vert">
      <w:tblPr/>
      <w:tcPr>
        <w:tcBorders>
          <w:top w:val="single" w:sz="8" w:space="0" w:color="0098C3"/>
          <w:left w:val="single" w:sz="8" w:space="0" w:color="0098C3"/>
          <w:bottom w:val="single" w:sz="8" w:space="0" w:color="0098C3"/>
          <w:right w:val="single" w:sz="8" w:space="0" w:color="0098C3"/>
        </w:tcBorders>
        <w:shd w:val="clear" w:color="auto" w:fill="B1EDFF"/>
      </w:tcPr>
    </w:tblStylePr>
    <w:tblStylePr w:type="band1Horz">
      <w:tblPr/>
      <w:tcPr>
        <w:tcBorders>
          <w:top w:val="single" w:sz="8" w:space="0" w:color="0098C3"/>
          <w:left w:val="single" w:sz="8" w:space="0" w:color="0098C3"/>
          <w:bottom w:val="single" w:sz="8" w:space="0" w:color="0098C3"/>
          <w:right w:val="single" w:sz="8" w:space="0" w:color="0098C3"/>
          <w:insideV w:val="single" w:sz="8" w:space="0" w:color="0098C3"/>
        </w:tcBorders>
        <w:shd w:val="clear" w:color="auto" w:fill="B1EDFF"/>
      </w:tcPr>
    </w:tblStylePr>
    <w:tblStylePr w:type="band2Horz">
      <w:tblPr/>
      <w:tcPr>
        <w:tcBorders>
          <w:top w:val="single" w:sz="8" w:space="0" w:color="0098C3"/>
          <w:left w:val="single" w:sz="8" w:space="0" w:color="0098C3"/>
          <w:bottom w:val="single" w:sz="8" w:space="0" w:color="0098C3"/>
          <w:right w:val="single" w:sz="8" w:space="0" w:color="0098C3"/>
          <w:insideV w:val="single" w:sz="8" w:space="0" w:color="0098C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val="en-US"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174102"/>
    <w:pPr>
      <w:spacing w:before="720" w:after="120"/>
      <w:contextualSpacing/>
      <w:outlineLvl w:val="0"/>
    </w:pPr>
    <w:rPr>
      <w:rFonts w:ascii="Lucida Fax" w:eastAsia="Times New Roman" w:hAnsi="Lucida Fax"/>
      <w:color w:val="4F2D7D"/>
      <w:spacing w:val="5"/>
      <w:kern w:val="28"/>
      <w:sz w:val="72"/>
      <w:szCs w:val="52"/>
    </w:rPr>
  </w:style>
  <w:style w:type="character" w:customStyle="1" w:styleId="TitleChar">
    <w:name w:val="Title Char"/>
    <w:link w:val="Title"/>
    <w:uiPriority w:val="10"/>
    <w:rsid w:val="00174102"/>
    <w:rPr>
      <w:rFonts w:ascii="Lucida Fax" w:eastAsia="Times New Roman" w:hAnsi="Lucida Fax" w:cs="Times New Roman"/>
      <w:color w:val="4F2D7D"/>
      <w:spacing w:val="5"/>
      <w:kern w:val="28"/>
      <w:sz w:val="72"/>
      <w:szCs w:val="52"/>
    </w:rPr>
  </w:style>
  <w:style w:type="paragraph" w:customStyle="1" w:styleId="CoverDate">
    <w:name w:val="Cover Date"/>
    <w:qFormat/>
    <w:rsid w:val="00746E01"/>
    <w:pPr>
      <w:spacing w:before="200"/>
    </w:pPr>
    <w:rPr>
      <w:rFonts w:ascii="Lucida Fax" w:hAnsi="Lucida Fax"/>
      <w:color w:val="DC5034"/>
      <w:sz w:val="22"/>
      <w:szCs w:val="24"/>
      <w:lang w:eastAsia="en-US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tblPr>
      <w:tblStyleRowBandSize w:val="1"/>
      <w:tblStyleColBandSize w:val="1"/>
      <w:tblBorders>
        <w:top w:val="single" w:sz="8" w:space="0" w:color="51626F"/>
        <w:left w:val="single" w:sz="8" w:space="0" w:color="51626F"/>
        <w:bottom w:val="single" w:sz="8" w:space="0" w:color="51626F"/>
        <w:right w:val="single" w:sz="8" w:space="0" w:color="51626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1626F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626F"/>
          <w:left w:val="single" w:sz="8" w:space="0" w:color="51626F"/>
          <w:bottom w:val="single" w:sz="8" w:space="0" w:color="51626F"/>
          <w:right w:val="single" w:sz="8" w:space="0" w:color="51626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626F"/>
          <w:left w:val="single" w:sz="8" w:space="0" w:color="51626F"/>
          <w:bottom w:val="single" w:sz="8" w:space="0" w:color="51626F"/>
          <w:right w:val="single" w:sz="8" w:space="0" w:color="51626F"/>
        </w:tcBorders>
      </w:tcPr>
    </w:tblStylePr>
    <w:tblStylePr w:type="band1Horz">
      <w:tblPr/>
      <w:tcPr>
        <w:tcBorders>
          <w:top w:val="single" w:sz="8" w:space="0" w:color="51626F"/>
          <w:left w:val="single" w:sz="8" w:space="0" w:color="51626F"/>
          <w:bottom w:val="single" w:sz="8" w:space="0" w:color="51626F"/>
          <w:right w:val="single" w:sz="8" w:space="0" w:color="51626F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tblPr>
      <w:tblStyleRowBandSize w:val="1"/>
      <w:tblStyleColBandSize w:val="1"/>
      <w:tblBorders>
        <w:top w:val="single" w:sz="8" w:space="0" w:color="0098C3"/>
        <w:left w:val="single" w:sz="8" w:space="0" w:color="0098C3"/>
        <w:bottom w:val="single" w:sz="8" w:space="0" w:color="0098C3"/>
        <w:right w:val="single" w:sz="8" w:space="0" w:color="0098C3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98C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8C3"/>
          <w:left w:val="single" w:sz="8" w:space="0" w:color="0098C3"/>
          <w:bottom w:val="single" w:sz="8" w:space="0" w:color="0098C3"/>
          <w:right w:val="single" w:sz="8" w:space="0" w:color="0098C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8C3"/>
          <w:left w:val="single" w:sz="8" w:space="0" w:color="0098C3"/>
          <w:bottom w:val="single" w:sz="8" w:space="0" w:color="0098C3"/>
          <w:right w:val="single" w:sz="8" w:space="0" w:color="0098C3"/>
        </w:tcBorders>
      </w:tcPr>
    </w:tblStylePr>
    <w:tblStylePr w:type="band1Horz">
      <w:tblPr/>
      <w:tcPr>
        <w:tcBorders>
          <w:top w:val="single" w:sz="8" w:space="0" w:color="0098C3"/>
          <w:left w:val="single" w:sz="8" w:space="0" w:color="0098C3"/>
          <w:bottom w:val="single" w:sz="8" w:space="0" w:color="0098C3"/>
          <w:right w:val="single" w:sz="8" w:space="0" w:color="0098C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tblPr>
      <w:tblStyleRowBandSize w:val="1"/>
      <w:tblStyleColBandSize w:val="1"/>
      <w:tblBorders>
        <w:top w:val="single" w:sz="8" w:space="0" w:color="B71202"/>
        <w:left w:val="single" w:sz="8" w:space="0" w:color="B71202"/>
        <w:bottom w:val="single" w:sz="8" w:space="0" w:color="B71202"/>
        <w:right w:val="single" w:sz="8" w:space="0" w:color="B71202"/>
      </w:tblBorders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B7120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1202"/>
          <w:left w:val="single" w:sz="8" w:space="0" w:color="B71202"/>
          <w:bottom w:val="single" w:sz="8" w:space="0" w:color="B71202"/>
          <w:right w:val="single" w:sz="8" w:space="0" w:color="B7120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1202"/>
          <w:left w:val="single" w:sz="8" w:space="0" w:color="B71202"/>
          <w:bottom w:val="single" w:sz="8" w:space="0" w:color="B71202"/>
          <w:right w:val="single" w:sz="8" w:space="0" w:color="B71202"/>
        </w:tcBorders>
      </w:tcPr>
    </w:tblStylePr>
    <w:tblStylePr w:type="band1Horz">
      <w:tblPr/>
      <w:tcPr>
        <w:tcBorders>
          <w:top w:val="single" w:sz="8" w:space="0" w:color="B71202"/>
          <w:left w:val="single" w:sz="8" w:space="0" w:color="B71202"/>
          <w:bottom w:val="single" w:sz="8" w:space="0" w:color="B71202"/>
          <w:right w:val="single" w:sz="8" w:space="0" w:color="B71202"/>
        </w:tcBorders>
      </w:tcPr>
    </w:tblStylePr>
  </w:style>
  <w:style w:type="character" w:styleId="Emphasis">
    <w:name w:val="Emphasis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615C6B"/>
    <w:pPr>
      <w:spacing w:before="60"/>
    </w:pPr>
    <w:rPr>
      <w:sz w:val="16"/>
      <w:szCs w:val="20"/>
    </w:rPr>
  </w:style>
  <w:style w:type="character" w:customStyle="1" w:styleId="FootnoteTextChar">
    <w:name w:val="Footnote Text Char"/>
    <w:link w:val="FootnoteText"/>
    <w:uiPriority w:val="2"/>
    <w:rsid w:val="00615C6B"/>
    <w:rPr>
      <w:rFonts w:ascii="Arial" w:hAnsi="Arial"/>
      <w:sz w:val="16"/>
      <w:szCs w:val="20"/>
    </w:rPr>
  </w:style>
  <w:style w:type="character" w:styleId="FootnoteReference">
    <w:name w:val="footnote reference"/>
    <w:uiPriority w:val="99"/>
    <w:semiHidden/>
    <w:unhideWhenUsed/>
    <w:rsid w:val="00701CAB"/>
    <w:rPr>
      <w:vertAlign w:val="superscript"/>
    </w:rPr>
  </w:style>
  <w:style w:type="character" w:styleId="Strong">
    <w:name w:val="Strong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8344F6"/>
    <w:pPr>
      <w:spacing w:before="360" w:after="120"/>
    </w:pPr>
    <w:rPr>
      <w:rFonts w:ascii="Lucida Fax" w:hAnsi="Lucida Fax"/>
      <w:color w:val="4F2D7F"/>
      <w:sz w:val="52"/>
      <w:szCs w:val="52"/>
      <w:lang w:eastAsia="en-US"/>
    </w:rPr>
  </w:style>
  <w:style w:type="character" w:customStyle="1" w:styleId="SubtitleChar">
    <w:name w:val="Subtitle Char"/>
    <w:link w:val="Subtitle"/>
    <w:uiPriority w:val="11"/>
    <w:rsid w:val="008344F6"/>
    <w:rPr>
      <w:rFonts w:ascii="Lucida Fax" w:hAnsi="Lucida Fax"/>
      <w:color w:val="4F2D7F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rPr>
      <w:color w:val="4DA5D9"/>
    </w:rPr>
    <w:tblPr>
      <w:tblStyleRowBandSize w:val="1"/>
      <w:tblStyleColBandSize w:val="1"/>
      <w:tblBorders>
        <w:top w:val="single" w:sz="8" w:space="0" w:color="A0CFEB"/>
        <w:bottom w:val="single" w:sz="8" w:space="0" w:color="A0CFEB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CFEB"/>
          <w:left w:val="nil"/>
          <w:bottom w:val="single" w:sz="8" w:space="0" w:color="A0CFE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CFEB"/>
          <w:left w:val="nil"/>
          <w:bottom w:val="single" w:sz="8" w:space="0" w:color="A0CFE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F3F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F3FA"/>
      </w:tcPr>
    </w:tblStylePr>
  </w:style>
  <w:style w:type="table" w:styleId="LightShading-Accent6">
    <w:name w:val="Light Shading Accent 6"/>
    <w:basedOn w:val="TableNormal"/>
    <w:uiPriority w:val="60"/>
    <w:rsid w:val="00746E01"/>
    <w:rPr>
      <w:color w:val="AD351E"/>
    </w:rPr>
    <w:tblPr>
      <w:tblStyleRowBandSize w:val="1"/>
      <w:tblStyleColBandSize w:val="1"/>
      <w:tblBorders>
        <w:top w:val="single" w:sz="8" w:space="0" w:color="DC5034"/>
        <w:bottom w:val="single" w:sz="8" w:space="0" w:color="DC503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5034"/>
          <w:left w:val="nil"/>
          <w:bottom w:val="single" w:sz="8" w:space="0" w:color="DC503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5034"/>
          <w:left w:val="nil"/>
          <w:bottom w:val="single" w:sz="8" w:space="0" w:color="DC503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3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3CC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customStyle="1" w:styleId="Numberedlist">
    <w:name w:val="Numbered list"/>
    <w:basedOn w:val="ListNumber"/>
    <w:rsid w:val="008033C4"/>
    <w:pPr>
      <w:numPr>
        <w:numId w:val="3"/>
      </w:numPr>
      <w:ind w:left="357" w:hanging="357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/>
    </w:rPr>
    <w:tblPr>
      <w:tblBorders>
        <w:top w:val="single" w:sz="4" w:space="0" w:color="D5D6D2"/>
        <w:bottom w:val="single" w:sz="4" w:space="0" w:color="D5D6D2"/>
        <w:insideH w:val="single" w:sz="4" w:space="0" w:color="D5D6D2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tblPr>
      <w:tblStyleRowBandSize w:val="1"/>
      <w:tblStyleColBandSize w:val="1"/>
      <w:tblBorders>
        <w:top w:val="single" w:sz="8" w:space="0" w:color="4F2D7D"/>
        <w:left w:val="single" w:sz="8" w:space="0" w:color="4F2D7D"/>
        <w:bottom w:val="single" w:sz="8" w:space="0" w:color="4F2D7D"/>
        <w:right w:val="single" w:sz="8" w:space="0" w:color="4F2D7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2D7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D"/>
          <w:left w:val="single" w:sz="8" w:space="0" w:color="4F2D7D"/>
          <w:bottom w:val="single" w:sz="8" w:space="0" w:color="4F2D7D"/>
          <w:right w:val="single" w:sz="8" w:space="0" w:color="4F2D7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D"/>
          <w:left w:val="single" w:sz="8" w:space="0" w:color="4F2D7D"/>
          <w:bottom w:val="single" w:sz="8" w:space="0" w:color="4F2D7D"/>
          <w:right w:val="single" w:sz="8" w:space="0" w:color="4F2D7D"/>
        </w:tcBorders>
      </w:tcPr>
    </w:tblStylePr>
    <w:tblStylePr w:type="band1Horz">
      <w:tblPr/>
      <w:tcPr>
        <w:tcBorders>
          <w:top w:val="single" w:sz="8" w:space="0" w:color="4F2D7D"/>
          <w:left w:val="single" w:sz="8" w:space="0" w:color="4F2D7D"/>
          <w:bottom w:val="single" w:sz="8" w:space="0" w:color="4F2D7D"/>
          <w:right w:val="single" w:sz="8" w:space="0" w:color="4F2D7D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tblPr>
      <w:tblStyleRowBandSize w:val="1"/>
      <w:tblStyleColBandSize w:val="1"/>
      <w:tblBorders>
        <w:top w:val="single" w:sz="8" w:space="0" w:color="A0CFEB"/>
        <w:left w:val="single" w:sz="8" w:space="0" w:color="A0CFEB"/>
        <w:bottom w:val="single" w:sz="8" w:space="0" w:color="A0CFEB"/>
        <w:right w:val="single" w:sz="8" w:space="0" w:color="A0CFE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0CFE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CFEB"/>
          <w:left w:val="single" w:sz="8" w:space="0" w:color="A0CFEB"/>
          <w:bottom w:val="single" w:sz="8" w:space="0" w:color="A0CFEB"/>
          <w:right w:val="single" w:sz="8" w:space="0" w:color="A0CFE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CFEB"/>
          <w:left w:val="single" w:sz="8" w:space="0" w:color="A0CFEB"/>
          <w:bottom w:val="single" w:sz="8" w:space="0" w:color="A0CFEB"/>
          <w:right w:val="single" w:sz="8" w:space="0" w:color="A0CFEB"/>
        </w:tcBorders>
      </w:tcPr>
    </w:tblStylePr>
    <w:tblStylePr w:type="band1Horz">
      <w:tblPr/>
      <w:tcPr>
        <w:tcBorders>
          <w:top w:val="single" w:sz="8" w:space="0" w:color="A0CFEB"/>
          <w:left w:val="single" w:sz="8" w:space="0" w:color="A0CFEB"/>
          <w:bottom w:val="single" w:sz="8" w:space="0" w:color="A0CFEB"/>
          <w:right w:val="single" w:sz="8" w:space="0" w:color="A0CFEB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tblPr>
      <w:tblStyleRowBandSize w:val="1"/>
      <w:tblStyleColBandSize w:val="1"/>
      <w:tblBorders>
        <w:top w:val="single" w:sz="8" w:space="0" w:color="DC5034"/>
        <w:left w:val="single" w:sz="8" w:space="0" w:color="DC5034"/>
        <w:bottom w:val="single" w:sz="8" w:space="0" w:color="DC5034"/>
        <w:right w:val="single" w:sz="8" w:space="0" w:color="DC503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C503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5034"/>
          <w:left w:val="single" w:sz="8" w:space="0" w:color="DC5034"/>
          <w:bottom w:val="single" w:sz="8" w:space="0" w:color="DC5034"/>
          <w:right w:val="single" w:sz="8" w:space="0" w:color="DC503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C5034"/>
          <w:left w:val="single" w:sz="8" w:space="0" w:color="DC5034"/>
          <w:bottom w:val="single" w:sz="8" w:space="0" w:color="DC5034"/>
          <w:right w:val="single" w:sz="8" w:space="0" w:color="DC5034"/>
        </w:tcBorders>
      </w:tcPr>
    </w:tblStylePr>
    <w:tblStylePr w:type="band1Horz">
      <w:tblPr/>
      <w:tcPr>
        <w:tcBorders>
          <w:top w:val="single" w:sz="8" w:space="0" w:color="DC5034"/>
          <w:left w:val="single" w:sz="8" w:space="0" w:color="DC5034"/>
          <w:bottom w:val="single" w:sz="8" w:space="0" w:color="DC5034"/>
          <w:right w:val="single" w:sz="8" w:space="0" w:color="DC5034"/>
        </w:tcBorders>
      </w:tcPr>
    </w:tblStylePr>
  </w:style>
  <w:style w:type="table" w:styleId="LightGrid">
    <w:name w:val="Light Grid"/>
    <w:basedOn w:val="TableNormal"/>
    <w:uiPriority w:val="62"/>
    <w:rsid w:val="009661DE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Lucida Fax" w:eastAsia="Times New Roman" w:hAnsi="Lucida Fax" w:cs="Times New Roman"/>
        <w:b/>
        <w:bCs/>
      </w:rPr>
    </w:tblStylePr>
    <w:tblStylePr w:type="lastCol"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tblPr>
      <w:tblStyleRowBandSize w:val="1"/>
      <w:tblStyleColBandSize w:val="1"/>
      <w:tblBorders>
        <w:top w:val="single" w:sz="8" w:space="0" w:color="51626F"/>
        <w:left w:val="single" w:sz="8" w:space="0" w:color="51626F"/>
        <w:bottom w:val="single" w:sz="8" w:space="0" w:color="51626F"/>
        <w:right w:val="single" w:sz="8" w:space="0" w:color="51626F"/>
        <w:insideH w:val="single" w:sz="8" w:space="0" w:color="51626F"/>
        <w:insideV w:val="single" w:sz="8" w:space="0" w:color="51626F"/>
      </w:tblBorders>
    </w:tblPr>
    <w:tblStylePr w:type="fir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51626F"/>
          <w:left w:val="single" w:sz="8" w:space="0" w:color="51626F"/>
          <w:bottom w:val="single" w:sz="18" w:space="0" w:color="51626F"/>
          <w:right w:val="single" w:sz="8" w:space="0" w:color="51626F"/>
          <w:insideH w:val="nil"/>
          <w:insideV w:val="single" w:sz="8" w:space="0" w:color="51626F"/>
        </w:tcBorders>
      </w:tcPr>
    </w:tblStylePr>
    <w:tblStylePr w:type="la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double" w:sz="6" w:space="0" w:color="51626F"/>
          <w:left w:val="single" w:sz="8" w:space="0" w:color="51626F"/>
          <w:bottom w:val="single" w:sz="8" w:space="0" w:color="51626F"/>
          <w:right w:val="single" w:sz="8" w:space="0" w:color="51626F"/>
          <w:insideH w:val="nil"/>
          <w:insideV w:val="single" w:sz="8" w:space="0" w:color="51626F"/>
        </w:tcBorders>
      </w:tcPr>
    </w:tblStylePr>
    <w:tblStylePr w:type="firstCol">
      <w:rPr>
        <w:rFonts w:ascii="Lucida Fax" w:eastAsia="Times New Roman" w:hAnsi="Lucida Fax" w:cs="Times New Roman"/>
        <w:b/>
        <w:bCs/>
      </w:rPr>
    </w:tblStylePr>
    <w:tblStylePr w:type="lastCol"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51626F"/>
          <w:left w:val="single" w:sz="8" w:space="0" w:color="51626F"/>
          <w:bottom w:val="single" w:sz="8" w:space="0" w:color="51626F"/>
          <w:right w:val="single" w:sz="8" w:space="0" w:color="51626F"/>
        </w:tcBorders>
      </w:tcPr>
    </w:tblStylePr>
    <w:tblStylePr w:type="band1Vert">
      <w:tblPr/>
      <w:tcPr>
        <w:tcBorders>
          <w:top w:val="single" w:sz="8" w:space="0" w:color="51626F"/>
          <w:left w:val="single" w:sz="8" w:space="0" w:color="51626F"/>
          <w:bottom w:val="single" w:sz="8" w:space="0" w:color="51626F"/>
          <w:right w:val="single" w:sz="8" w:space="0" w:color="51626F"/>
        </w:tcBorders>
        <w:shd w:val="clear" w:color="auto" w:fill="D1D8DD"/>
      </w:tcPr>
    </w:tblStylePr>
    <w:tblStylePr w:type="band1Horz">
      <w:tblPr/>
      <w:tcPr>
        <w:tcBorders>
          <w:top w:val="single" w:sz="8" w:space="0" w:color="51626F"/>
          <w:left w:val="single" w:sz="8" w:space="0" w:color="51626F"/>
          <w:bottom w:val="single" w:sz="8" w:space="0" w:color="51626F"/>
          <w:right w:val="single" w:sz="8" w:space="0" w:color="51626F"/>
          <w:insideV w:val="single" w:sz="8" w:space="0" w:color="51626F"/>
        </w:tcBorders>
        <w:shd w:val="clear" w:color="auto" w:fill="D1D8DD"/>
      </w:tcPr>
    </w:tblStylePr>
    <w:tblStylePr w:type="band2Horz">
      <w:tblPr/>
      <w:tcPr>
        <w:tcBorders>
          <w:top w:val="single" w:sz="8" w:space="0" w:color="51626F"/>
          <w:left w:val="single" w:sz="8" w:space="0" w:color="51626F"/>
          <w:bottom w:val="single" w:sz="8" w:space="0" w:color="51626F"/>
          <w:right w:val="single" w:sz="8" w:space="0" w:color="51626F"/>
          <w:insideV w:val="single" w:sz="8" w:space="0" w:color="51626F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tblPr>
      <w:tblStyleRowBandSize w:val="1"/>
      <w:tblStyleColBandSize w:val="1"/>
      <w:tblBorders>
        <w:top w:val="single" w:sz="8" w:space="0" w:color="4F2D7D"/>
        <w:left w:val="single" w:sz="8" w:space="0" w:color="4F2D7D"/>
        <w:bottom w:val="single" w:sz="8" w:space="0" w:color="4F2D7D"/>
        <w:right w:val="single" w:sz="8" w:space="0" w:color="4F2D7D"/>
        <w:insideH w:val="single" w:sz="8" w:space="0" w:color="4F2D7D"/>
        <w:insideV w:val="single" w:sz="8" w:space="0" w:color="4F2D7D"/>
      </w:tblBorders>
    </w:tblPr>
    <w:tblStylePr w:type="fir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4F2D7D"/>
          <w:left w:val="single" w:sz="8" w:space="0" w:color="4F2D7D"/>
          <w:bottom w:val="single" w:sz="18" w:space="0" w:color="4F2D7D"/>
          <w:right w:val="single" w:sz="8" w:space="0" w:color="4F2D7D"/>
          <w:insideH w:val="nil"/>
          <w:insideV w:val="single" w:sz="8" w:space="0" w:color="4F2D7D"/>
        </w:tcBorders>
      </w:tcPr>
    </w:tblStylePr>
    <w:tblStylePr w:type="la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double" w:sz="6" w:space="0" w:color="4F2D7D"/>
          <w:left w:val="single" w:sz="8" w:space="0" w:color="4F2D7D"/>
          <w:bottom w:val="single" w:sz="8" w:space="0" w:color="4F2D7D"/>
          <w:right w:val="single" w:sz="8" w:space="0" w:color="4F2D7D"/>
          <w:insideH w:val="nil"/>
          <w:insideV w:val="single" w:sz="8" w:space="0" w:color="4F2D7D"/>
        </w:tcBorders>
      </w:tcPr>
    </w:tblStylePr>
    <w:tblStylePr w:type="firstCol">
      <w:rPr>
        <w:rFonts w:ascii="Lucida Fax" w:eastAsia="Times New Roman" w:hAnsi="Lucida Fax" w:cs="Times New Roman"/>
        <w:b/>
        <w:bCs/>
      </w:rPr>
    </w:tblStylePr>
    <w:tblStylePr w:type="lastCol"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4F2D7D"/>
          <w:left w:val="single" w:sz="8" w:space="0" w:color="4F2D7D"/>
          <w:bottom w:val="single" w:sz="8" w:space="0" w:color="4F2D7D"/>
          <w:right w:val="single" w:sz="8" w:space="0" w:color="4F2D7D"/>
        </w:tcBorders>
      </w:tcPr>
    </w:tblStylePr>
    <w:tblStylePr w:type="band1Vert">
      <w:tblPr/>
      <w:tcPr>
        <w:tcBorders>
          <w:top w:val="single" w:sz="8" w:space="0" w:color="4F2D7D"/>
          <w:left w:val="single" w:sz="8" w:space="0" w:color="4F2D7D"/>
          <w:bottom w:val="single" w:sz="8" w:space="0" w:color="4F2D7D"/>
          <w:right w:val="single" w:sz="8" w:space="0" w:color="4F2D7D"/>
        </w:tcBorders>
        <w:shd w:val="clear" w:color="auto" w:fill="D1C1E8"/>
      </w:tcPr>
    </w:tblStylePr>
    <w:tblStylePr w:type="band1Horz">
      <w:tblPr/>
      <w:tcPr>
        <w:tcBorders>
          <w:top w:val="single" w:sz="8" w:space="0" w:color="4F2D7D"/>
          <w:left w:val="single" w:sz="8" w:space="0" w:color="4F2D7D"/>
          <w:bottom w:val="single" w:sz="8" w:space="0" w:color="4F2D7D"/>
          <w:right w:val="single" w:sz="8" w:space="0" w:color="4F2D7D"/>
          <w:insideV w:val="single" w:sz="8" w:space="0" w:color="4F2D7D"/>
        </w:tcBorders>
        <w:shd w:val="clear" w:color="auto" w:fill="D1C1E8"/>
      </w:tcPr>
    </w:tblStylePr>
    <w:tblStylePr w:type="band2Horz">
      <w:tblPr/>
      <w:tcPr>
        <w:tcBorders>
          <w:top w:val="single" w:sz="8" w:space="0" w:color="4F2D7D"/>
          <w:left w:val="single" w:sz="8" w:space="0" w:color="4F2D7D"/>
          <w:bottom w:val="single" w:sz="8" w:space="0" w:color="4F2D7D"/>
          <w:right w:val="single" w:sz="8" w:space="0" w:color="4F2D7D"/>
          <w:insideV w:val="single" w:sz="8" w:space="0" w:color="4F2D7D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tblPr>
      <w:tblStyleRowBandSize w:val="1"/>
      <w:tblStyleColBandSize w:val="1"/>
      <w:tblBorders>
        <w:top w:val="single" w:sz="8" w:space="0" w:color="A0CFEB"/>
        <w:left w:val="single" w:sz="8" w:space="0" w:color="A0CFEB"/>
        <w:bottom w:val="single" w:sz="8" w:space="0" w:color="A0CFEB"/>
        <w:right w:val="single" w:sz="8" w:space="0" w:color="A0CFEB"/>
        <w:insideH w:val="single" w:sz="8" w:space="0" w:color="A0CFEB"/>
        <w:insideV w:val="single" w:sz="8" w:space="0" w:color="A0CFEB"/>
      </w:tblBorders>
    </w:tblPr>
    <w:tblStylePr w:type="fir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A0CFEB"/>
          <w:left w:val="single" w:sz="8" w:space="0" w:color="A0CFEB"/>
          <w:bottom w:val="single" w:sz="18" w:space="0" w:color="A0CFEB"/>
          <w:right w:val="single" w:sz="8" w:space="0" w:color="A0CFEB"/>
          <w:insideH w:val="nil"/>
          <w:insideV w:val="single" w:sz="8" w:space="0" w:color="A0CFEB"/>
        </w:tcBorders>
      </w:tcPr>
    </w:tblStylePr>
    <w:tblStylePr w:type="la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double" w:sz="6" w:space="0" w:color="A0CFEB"/>
          <w:left w:val="single" w:sz="8" w:space="0" w:color="A0CFEB"/>
          <w:bottom w:val="single" w:sz="8" w:space="0" w:color="A0CFEB"/>
          <w:right w:val="single" w:sz="8" w:space="0" w:color="A0CFEB"/>
          <w:insideH w:val="nil"/>
          <w:insideV w:val="single" w:sz="8" w:space="0" w:color="A0CFEB"/>
        </w:tcBorders>
      </w:tcPr>
    </w:tblStylePr>
    <w:tblStylePr w:type="firstCol">
      <w:rPr>
        <w:rFonts w:ascii="Lucida Fax" w:eastAsia="Times New Roman" w:hAnsi="Lucida Fax" w:cs="Times New Roman"/>
        <w:b/>
        <w:bCs/>
      </w:rPr>
    </w:tblStylePr>
    <w:tblStylePr w:type="lastCol"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A0CFEB"/>
          <w:left w:val="single" w:sz="8" w:space="0" w:color="A0CFEB"/>
          <w:bottom w:val="single" w:sz="8" w:space="0" w:color="A0CFEB"/>
          <w:right w:val="single" w:sz="8" w:space="0" w:color="A0CFEB"/>
        </w:tcBorders>
      </w:tcPr>
    </w:tblStylePr>
    <w:tblStylePr w:type="band1Vert">
      <w:tblPr/>
      <w:tcPr>
        <w:tcBorders>
          <w:top w:val="single" w:sz="8" w:space="0" w:color="A0CFEB"/>
          <w:left w:val="single" w:sz="8" w:space="0" w:color="A0CFEB"/>
          <w:bottom w:val="single" w:sz="8" w:space="0" w:color="A0CFEB"/>
          <w:right w:val="single" w:sz="8" w:space="0" w:color="A0CFEB"/>
        </w:tcBorders>
        <w:shd w:val="clear" w:color="auto" w:fill="E7F3FA"/>
      </w:tcPr>
    </w:tblStylePr>
    <w:tblStylePr w:type="band1Horz">
      <w:tblPr/>
      <w:tcPr>
        <w:tcBorders>
          <w:top w:val="single" w:sz="8" w:space="0" w:color="A0CFEB"/>
          <w:left w:val="single" w:sz="8" w:space="0" w:color="A0CFEB"/>
          <w:bottom w:val="single" w:sz="8" w:space="0" w:color="A0CFEB"/>
          <w:right w:val="single" w:sz="8" w:space="0" w:color="A0CFEB"/>
          <w:insideV w:val="single" w:sz="8" w:space="0" w:color="A0CFEB"/>
        </w:tcBorders>
        <w:shd w:val="clear" w:color="auto" w:fill="E7F3FA"/>
      </w:tcPr>
    </w:tblStylePr>
    <w:tblStylePr w:type="band2Horz">
      <w:tblPr/>
      <w:tcPr>
        <w:tcBorders>
          <w:top w:val="single" w:sz="8" w:space="0" w:color="A0CFEB"/>
          <w:left w:val="single" w:sz="8" w:space="0" w:color="A0CFEB"/>
          <w:bottom w:val="single" w:sz="8" w:space="0" w:color="A0CFEB"/>
          <w:right w:val="single" w:sz="8" w:space="0" w:color="A0CFEB"/>
          <w:insideV w:val="single" w:sz="8" w:space="0" w:color="A0CFEB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tblPr>
      <w:tblStyleRowBandSize w:val="1"/>
      <w:tblStyleColBandSize w:val="1"/>
      <w:tblBorders>
        <w:top w:val="single" w:sz="8" w:space="0" w:color="B71202"/>
        <w:left w:val="single" w:sz="8" w:space="0" w:color="B71202"/>
        <w:bottom w:val="single" w:sz="8" w:space="0" w:color="B71202"/>
        <w:right w:val="single" w:sz="8" w:space="0" w:color="B71202"/>
        <w:insideH w:val="single" w:sz="8" w:space="0" w:color="B71202"/>
        <w:insideV w:val="single" w:sz="8" w:space="0" w:color="B71202"/>
      </w:tblBorders>
    </w:tblPr>
    <w:tblStylePr w:type="fir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B71202"/>
          <w:left w:val="single" w:sz="8" w:space="0" w:color="B71202"/>
          <w:bottom w:val="single" w:sz="18" w:space="0" w:color="B71202"/>
          <w:right w:val="single" w:sz="8" w:space="0" w:color="B71202"/>
          <w:insideH w:val="nil"/>
          <w:insideV w:val="single" w:sz="8" w:space="0" w:color="B71202"/>
        </w:tcBorders>
      </w:tcPr>
    </w:tblStylePr>
    <w:tblStylePr w:type="lastRow">
      <w:pPr>
        <w:spacing w:before="0" w:after="0" w:line="240" w:lineRule="auto"/>
      </w:pPr>
      <w:rPr>
        <w:rFonts w:ascii="Lucida Fax" w:eastAsia="Times New Roman" w:hAnsi="Lucida Fax" w:cs="Times New Roman"/>
        <w:b/>
        <w:bCs/>
      </w:rPr>
      <w:tblPr/>
      <w:tcPr>
        <w:tcBorders>
          <w:top w:val="double" w:sz="6" w:space="0" w:color="B71202"/>
          <w:left w:val="single" w:sz="8" w:space="0" w:color="B71202"/>
          <w:bottom w:val="single" w:sz="8" w:space="0" w:color="B71202"/>
          <w:right w:val="single" w:sz="8" w:space="0" w:color="B71202"/>
          <w:insideH w:val="nil"/>
          <w:insideV w:val="single" w:sz="8" w:space="0" w:color="B71202"/>
        </w:tcBorders>
      </w:tcPr>
    </w:tblStylePr>
    <w:tblStylePr w:type="firstCol">
      <w:rPr>
        <w:rFonts w:ascii="Lucida Fax" w:eastAsia="Times New Roman" w:hAnsi="Lucida Fax" w:cs="Times New Roman"/>
        <w:b/>
        <w:bCs/>
      </w:rPr>
    </w:tblStylePr>
    <w:tblStylePr w:type="lastCol">
      <w:rPr>
        <w:rFonts w:ascii="Lucida Fax" w:eastAsia="Times New Roman" w:hAnsi="Lucida Fax" w:cs="Times New Roman"/>
        <w:b/>
        <w:bCs/>
      </w:rPr>
      <w:tblPr/>
      <w:tcPr>
        <w:tcBorders>
          <w:top w:val="single" w:sz="8" w:space="0" w:color="B71202"/>
          <w:left w:val="single" w:sz="8" w:space="0" w:color="B71202"/>
          <w:bottom w:val="single" w:sz="8" w:space="0" w:color="B71202"/>
          <w:right w:val="single" w:sz="8" w:space="0" w:color="B71202"/>
        </w:tcBorders>
      </w:tcPr>
    </w:tblStylePr>
    <w:tblStylePr w:type="band1Vert">
      <w:tblPr/>
      <w:tcPr>
        <w:tcBorders>
          <w:top w:val="single" w:sz="8" w:space="0" w:color="B71202"/>
          <w:left w:val="single" w:sz="8" w:space="0" w:color="B71202"/>
          <w:bottom w:val="single" w:sz="8" w:space="0" w:color="B71202"/>
          <w:right w:val="single" w:sz="8" w:space="0" w:color="B71202"/>
        </w:tcBorders>
        <w:shd w:val="clear" w:color="auto" w:fill="FEB6AF"/>
      </w:tcPr>
    </w:tblStylePr>
    <w:tblStylePr w:type="band1Horz">
      <w:tblPr/>
      <w:tcPr>
        <w:tcBorders>
          <w:top w:val="single" w:sz="8" w:space="0" w:color="B71202"/>
          <w:left w:val="single" w:sz="8" w:space="0" w:color="B71202"/>
          <w:bottom w:val="single" w:sz="8" w:space="0" w:color="B71202"/>
          <w:right w:val="single" w:sz="8" w:space="0" w:color="B71202"/>
          <w:insideV w:val="single" w:sz="8" w:space="0" w:color="B71202"/>
        </w:tcBorders>
        <w:shd w:val="clear" w:color="auto" w:fill="FEB6AF"/>
      </w:tcPr>
    </w:tblStylePr>
    <w:tblStylePr w:type="band2Horz">
      <w:tblPr/>
      <w:tcPr>
        <w:tcBorders>
          <w:top w:val="single" w:sz="8" w:space="0" w:color="B71202"/>
          <w:left w:val="single" w:sz="8" w:space="0" w:color="B71202"/>
          <w:bottom w:val="single" w:sz="8" w:space="0" w:color="B71202"/>
          <w:right w:val="single" w:sz="8" w:space="0" w:color="B71202"/>
          <w:insideV w:val="single" w:sz="8" w:space="0" w:color="B71202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szCs w:val="20"/>
      <w:lang w:val="en-US"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17A1D"/>
    <w:pPr>
      <w:numPr>
        <w:ilvl w:val="8"/>
        <w:numId w:val="32"/>
      </w:numPr>
      <w:ind w:left="2948" w:hanging="2948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unhideWhenUsed/>
    <w:rsid w:val="008033C4"/>
    <w:pPr>
      <w:spacing w:before="120"/>
      <w:ind w:left="284" w:hanging="284"/>
    </w:pPr>
  </w:style>
  <w:style w:type="paragraph" w:styleId="List2">
    <w:name w:val="List 2"/>
    <w:basedOn w:val="Normal"/>
    <w:uiPriority w:val="99"/>
    <w:unhideWhenUsed/>
    <w:rsid w:val="008033C4"/>
    <w:pPr>
      <w:spacing w:before="120"/>
      <w:ind w:left="568" w:hanging="284"/>
    </w:pPr>
  </w:style>
  <w:style w:type="paragraph" w:styleId="List3">
    <w:name w:val="List 3"/>
    <w:basedOn w:val="Normal"/>
    <w:uiPriority w:val="99"/>
    <w:unhideWhenUsed/>
    <w:rsid w:val="008033C4"/>
    <w:pPr>
      <w:spacing w:before="120"/>
      <w:ind w:left="851" w:hanging="284"/>
    </w:pPr>
  </w:style>
  <w:style w:type="paragraph" w:styleId="List4">
    <w:name w:val="List 4"/>
    <w:basedOn w:val="Normal"/>
    <w:uiPriority w:val="99"/>
    <w:unhideWhenUsed/>
    <w:rsid w:val="008033C4"/>
    <w:pPr>
      <w:spacing w:before="120"/>
      <w:ind w:left="1135" w:hanging="284"/>
    </w:pPr>
  </w:style>
  <w:style w:type="paragraph" w:styleId="List5">
    <w:name w:val="List 5"/>
    <w:basedOn w:val="Normal"/>
    <w:uiPriority w:val="99"/>
    <w:unhideWhenUsed/>
    <w:rsid w:val="008033C4"/>
    <w:pPr>
      <w:spacing w:before="120"/>
      <w:ind w:left="1418" w:hanging="284"/>
    </w:pPr>
  </w:style>
  <w:style w:type="paragraph" w:styleId="ListBullet3">
    <w:name w:val="List Bullet 3"/>
    <w:basedOn w:val="Normal"/>
    <w:uiPriority w:val="99"/>
    <w:unhideWhenUsed/>
    <w:rsid w:val="008033C4"/>
    <w:pPr>
      <w:numPr>
        <w:numId w:val="9"/>
      </w:numPr>
      <w:spacing w:before="120"/>
      <w:ind w:left="924" w:hanging="357"/>
    </w:pPr>
  </w:style>
  <w:style w:type="paragraph" w:styleId="ListBullet4">
    <w:name w:val="List Bullet 4"/>
    <w:basedOn w:val="Normal"/>
    <w:uiPriority w:val="99"/>
    <w:unhideWhenUsed/>
    <w:rsid w:val="008033C4"/>
    <w:pPr>
      <w:numPr>
        <w:numId w:val="10"/>
      </w:numPr>
      <w:spacing w:before="120"/>
      <w:ind w:left="1208" w:hanging="357"/>
    </w:pPr>
  </w:style>
  <w:style w:type="paragraph" w:styleId="ListBullet5">
    <w:name w:val="List Bullet 5"/>
    <w:basedOn w:val="Normal"/>
    <w:uiPriority w:val="99"/>
    <w:unhideWhenUsed/>
    <w:rsid w:val="008033C4"/>
    <w:pPr>
      <w:numPr>
        <w:numId w:val="11"/>
      </w:numPr>
      <w:spacing w:before="120"/>
      <w:ind w:left="1491" w:hanging="357"/>
    </w:pPr>
  </w:style>
  <w:style w:type="paragraph" w:styleId="ListContinue">
    <w:name w:val="List Continue"/>
    <w:basedOn w:val="Normal"/>
    <w:uiPriority w:val="99"/>
    <w:unhideWhenUsed/>
    <w:rsid w:val="0007137B"/>
    <w:pPr>
      <w:spacing w:before="120"/>
      <w:ind w:left="284"/>
    </w:pPr>
  </w:style>
  <w:style w:type="paragraph" w:styleId="ListContinue2">
    <w:name w:val="List Continue 2"/>
    <w:basedOn w:val="Normal"/>
    <w:uiPriority w:val="99"/>
    <w:unhideWhenUsed/>
    <w:rsid w:val="008033C4"/>
    <w:pPr>
      <w:spacing w:before="120"/>
      <w:ind w:left="567"/>
    </w:pPr>
  </w:style>
  <w:style w:type="paragraph" w:styleId="ListContinue3">
    <w:name w:val="List Continue 3"/>
    <w:basedOn w:val="Normal"/>
    <w:uiPriority w:val="99"/>
    <w:unhideWhenUsed/>
    <w:rsid w:val="0007137B"/>
    <w:pPr>
      <w:spacing w:before="120"/>
      <w:ind w:left="851"/>
    </w:pPr>
  </w:style>
  <w:style w:type="paragraph" w:styleId="ListContinue4">
    <w:name w:val="List Continue 4"/>
    <w:basedOn w:val="Normal"/>
    <w:uiPriority w:val="99"/>
    <w:unhideWhenUsed/>
    <w:rsid w:val="008033C4"/>
    <w:pPr>
      <w:spacing w:before="120"/>
      <w:ind w:left="1134"/>
    </w:pPr>
  </w:style>
  <w:style w:type="paragraph" w:styleId="ListNumber3">
    <w:name w:val="List Number 3"/>
    <w:basedOn w:val="Normal"/>
    <w:uiPriority w:val="99"/>
    <w:unhideWhenUsed/>
    <w:rsid w:val="008033C4"/>
    <w:pPr>
      <w:numPr>
        <w:numId w:val="14"/>
      </w:numPr>
      <w:spacing w:before="120"/>
      <w:ind w:left="924" w:hanging="357"/>
    </w:pPr>
  </w:style>
  <w:style w:type="paragraph" w:styleId="ListNumber4">
    <w:name w:val="List Number 4"/>
    <w:basedOn w:val="Normal"/>
    <w:uiPriority w:val="99"/>
    <w:unhideWhenUsed/>
    <w:rsid w:val="008033C4"/>
    <w:pPr>
      <w:numPr>
        <w:numId w:val="15"/>
      </w:numPr>
      <w:spacing w:before="120"/>
      <w:ind w:left="1208" w:hanging="357"/>
    </w:pPr>
  </w:style>
  <w:style w:type="paragraph" w:styleId="ListNumber5">
    <w:name w:val="List Number 5"/>
    <w:basedOn w:val="Normal"/>
    <w:uiPriority w:val="99"/>
    <w:unhideWhenUsed/>
    <w:rsid w:val="008033C4"/>
    <w:pPr>
      <w:numPr>
        <w:numId w:val="16"/>
      </w:numPr>
      <w:spacing w:before="120"/>
      <w:ind w:left="1491" w:hanging="357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/>
      <w:bCs/>
      <w:szCs w:val="20"/>
    </w:rPr>
  </w:style>
  <w:style w:type="character" w:customStyle="1" w:styleId="Tabletext-rightChar">
    <w:name w:val="Table text - right 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/>
      <w:bCs/>
      <w:szCs w:val="20"/>
    </w:rPr>
  </w:style>
  <w:style w:type="character" w:customStyle="1" w:styleId="EndnoteTextChar">
    <w:name w:val="Endnote Text Char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tblPr>
      <w:tblBorders>
        <w:insideV w:val="single" w:sz="4" w:space="0" w:color="D5D6D2"/>
      </w:tblBorders>
    </w:tblPr>
    <w:tblStylePr w:type="firstRow">
      <w:rPr>
        <w:rFonts w:ascii="Arial" w:hAnsi="Arial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uiPriority w:val="99"/>
    <w:rsid w:val="00263AC0"/>
    <w:rPr>
      <w:vertAlign w:val="superscript"/>
    </w:rPr>
  </w:style>
  <w:style w:type="paragraph" w:customStyle="1" w:styleId="Numberedparagraph11">
    <w:name w:val="Numbered paragraph 1.1"/>
    <w:basedOn w:val="Numbered11"/>
    <w:rsid w:val="00063247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link w:val="Numbered1"/>
    <w:rsid w:val="00085663"/>
    <w:rPr>
      <w:rFonts w:ascii="Lucida Fax" w:eastAsia="Times New Roman" w:hAnsi="Lucida Fax" w:cs="Times New Roman"/>
      <w:bCs/>
      <w:color w:val="51626F"/>
      <w:sz w:val="32"/>
      <w:szCs w:val="28"/>
    </w:rPr>
  </w:style>
  <w:style w:type="paragraph" w:customStyle="1" w:styleId="Numberedparagraph">
    <w:name w:val="Numbered paragraph"/>
    <w:basedOn w:val="Numberedlist"/>
    <w:rsid w:val="00FE64AE"/>
    <w:pPr>
      <w:spacing w:before="200"/>
      <w:ind w:left="680" w:hanging="680"/>
    </w:pPr>
    <w:rPr>
      <w:rFonts w:eastAsia="Times New Roman"/>
      <w:szCs w:val="20"/>
    </w:rPr>
  </w:style>
  <w:style w:type="character" w:styleId="CommentReference">
    <w:name w:val="annotation reference"/>
    <w:uiPriority w:val="99"/>
    <w:semiHidden/>
    <w:unhideWhenUsed/>
    <w:rsid w:val="002779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91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7791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91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77913"/>
    <w:rPr>
      <w:rFonts w:ascii="Arial" w:hAnsi="Arial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2C662C"/>
    <w:pPr>
      <w:spacing w:before="0" w:after="240"/>
      <w:jc w:val="center"/>
    </w:pPr>
    <w:rPr>
      <w:rFonts w:ascii="Times New Roman" w:eastAsia="Times New Roman" w:hAnsi="Times New Roman"/>
      <w:b/>
      <w:sz w:val="36"/>
      <w:szCs w:val="20"/>
      <w:lang w:eastAsia="en-AU"/>
    </w:rPr>
  </w:style>
  <w:style w:type="character" w:customStyle="1" w:styleId="BodyTextChar">
    <w:name w:val="Body Text Char"/>
    <w:link w:val="BodyText"/>
    <w:rsid w:val="002C662C"/>
    <w:rPr>
      <w:rFonts w:ascii="Times New Roman" w:eastAsia="Times New Roman" w:hAnsi="Times New Roman" w:cs="Times New Roman"/>
      <w:b/>
      <w:sz w:val="36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www.cuttingredtape.gov.au/handbook/australian-government-guide-regulatio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uttingredtape.gov.au/handbook/australian-government-guide-regulation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[pick the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ECB3D10-3054-4B72-AF01-40FBC979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35FACB5F</Template>
  <TotalTime>0</TotalTime>
  <Pages>9</Pages>
  <Words>2074</Words>
  <Characters>11824</Characters>
  <Application>Microsoft Office Word</Application>
  <DocSecurity>4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title]</vt:lpstr>
    </vt:vector>
  </TitlesOfParts>
  <Company>ACCC</Company>
  <LinksUpToDate>false</LinksUpToDate>
  <CharactersWithSpaces>13871</CharactersWithSpaces>
  <SharedDoc>false</SharedDoc>
  <HLinks>
    <vt:vector size="12" baseType="variant">
      <vt:variant>
        <vt:i4>5701640</vt:i4>
      </vt:variant>
      <vt:variant>
        <vt:i4>3</vt:i4>
      </vt:variant>
      <vt:variant>
        <vt:i4>0</vt:i4>
      </vt:variant>
      <vt:variant>
        <vt:i4>5</vt:i4>
      </vt:variant>
      <vt:variant>
        <vt:lpwstr>https://www.cuttingredtape.gov.au/handbook/australian-government-guide-regulation</vt:lpwstr>
      </vt:variant>
      <vt:variant>
        <vt:lpwstr/>
      </vt:variant>
      <vt:variant>
        <vt:i4>5701640</vt:i4>
      </vt:variant>
      <vt:variant>
        <vt:i4>0</vt:i4>
      </vt:variant>
      <vt:variant>
        <vt:i4>0</vt:i4>
      </vt:variant>
      <vt:variant>
        <vt:i4>5</vt:i4>
      </vt:variant>
      <vt:variant>
        <vt:lpwstr>https://www.cuttingredtape.gov.au/handbook/australian-government-guide-regulation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title]</dc:title>
  <dc:subject>[subtitle]</dc:subject>
  <dc:creator>Khan, Ali</dc:creator>
  <cp:lastModifiedBy>Herron, Will</cp:lastModifiedBy>
  <cp:revision>2</cp:revision>
  <cp:lastPrinted>2015-01-06T01:13:00Z</cp:lastPrinted>
  <dcterms:created xsi:type="dcterms:W3CDTF">2017-11-03T00:42:00Z</dcterms:created>
  <dcterms:modified xsi:type="dcterms:W3CDTF">2017-11-03T00:42:00Z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I">
    <vt:lpwstr>8591862</vt:lpwstr>
  </property>
  <property fmtid="{D5CDD505-2E9C-101B-9397-08002B2CF9AE}" pid="3" name="currfile">
    <vt:lpwstr>\\cdchnas-evs02\home$\samcdo\cps - spl - foi - protecting consumers from unsafe products - update - december 2015 (D2015-00183421).docx</vt:lpwstr>
  </property>
</Properties>
</file>